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val="0"/>
        <w:snapToGrid w:val="0"/>
        <w:spacing w:line="590" w:lineRule="exact"/>
        <w:ind w:right="0" w:rightChars="0"/>
        <w:jc w:val="center"/>
        <w:textAlignment w:val="auto"/>
        <w:outlineLvl w:val="9"/>
        <w:rPr>
          <w:rFonts w:hint="eastAsia"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sz w:val="44"/>
          <w:szCs w:val="44"/>
          <w:lang w:val="en-US" w:eastAsia="zh-CN"/>
        </w:rPr>
        <w:t>第二讲  体表胃肠起搏治疗在</w:t>
      </w:r>
      <w:r>
        <w:rPr>
          <w:rFonts w:hint="eastAsia" w:ascii="方正小标宋简体" w:hAnsi="方正小标宋简体" w:eastAsia="方正小标宋简体" w:cs="方正小标宋简体"/>
          <w:color w:val="000000"/>
          <w:kern w:val="0"/>
          <w:sz w:val="44"/>
          <w:szCs w:val="44"/>
        </w:rPr>
        <w:t>胃肠运动</w:t>
      </w:r>
    </w:p>
    <w:p>
      <w:pPr>
        <w:keepNext w:val="0"/>
        <w:keepLines w:val="0"/>
        <w:pageBreakBefore w:val="0"/>
        <w:kinsoku/>
        <w:wordWrap/>
        <w:overflowPunct/>
        <w:topLinePunct w:val="0"/>
        <w:bidi w:val="0"/>
        <w:adjustRightInd w:val="0"/>
        <w:snapToGrid w:val="0"/>
        <w:spacing w:line="590" w:lineRule="exact"/>
        <w:ind w:right="0" w:rightChars="0"/>
        <w:jc w:val="center"/>
        <w:textAlignment w:val="auto"/>
        <w:outlineLvl w:val="9"/>
        <w:rPr>
          <w:rFonts w:hint="eastAsia" w:ascii="仿宋_GB2312" w:hAnsi="仿宋_GB2312" w:eastAsia="仿宋_GB2312" w:cs="仿宋_GB2312"/>
          <w:color w:val="000000"/>
          <w:sz w:val="32"/>
          <w:szCs w:val="32"/>
          <w:lang w:val="en-US" w:eastAsia="zh-CN"/>
        </w:rPr>
      </w:pPr>
      <w:r>
        <w:rPr>
          <w:rFonts w:hint="eastAsia" w:ascii="方正小标宋简体" w:hAnsi="方正小标宋简体" w:eastAsia="方正小标宋简体" w:cs="方正小标宋简体"/>
          <w:color w:val="000000"/>
          <w:kern w:val="0"/>
          <w:sz w:val="44"/>
          <w:szCs w:val="44"/>
          <w:lang w:val="en-US" w:eastAsia="zh-CN"/>
        </w:rPr>
        <w:t xml:space="preserve">        </w:t>
      </w:r>
      <w:r>
        <w:rPr>
          <w:rFonts w:hint="eastAsia" w:ascii="方正小标宋简体" w:hAnsi="方正小标宋简体" w:eastAsia="方正小标宋简体" w:cs="方正小标宋简体"/>
          <w:color w:val="000000"/>
          <w:kern w:val="0"/>
          <w:sz w:val="44"/>
          <w:szCs w:val="44"/>
        </w:rPr>
        <w:t>障碍</w:t>
      </w:r>
      <w:r>
        <w:rPr>
          <w:rFonts w:hint="eastAsia" w:ascii="方正小标宋简体" w:hAnsi="方正小标宋简体" w:eastAsia="方正小标宋简体" w:cs="方正小标宋简体"/>
          <w:color w:val="000000"/>
          <w:kern w:val="0"/>
          <w:sz w:val="44"/>
          <w:szCs w:val="44"/>
          <w:lang w:eastAsia="zh-CN"/>
        </w:rPr>
        <w:t>性</w:t>
      </w:r>
      <w:r>
        <w:rPr>
          <w:rFonts w:hint="eastAsia" w:ascii="方正小标宋简体" w:hAnsi="方正小标宋简体" w:eastAsia="方正小标宋简体" w:cs="方正小标宋简体"/>
          <w:color w:val="000000"/>
          <w:sz w:val="44"/>
          <w:szCs w:val="44"/>
          <w:lang w:val="en-US" w:eastAsia="zh-CN"/>
        </w:rPr>
        <w:t>病中的应用进展</w:t>
      </w:r>
    </w:p>
    <w:p>
      <w:pPr>
        <w:keepNext w:val="0"/>
        <w:keepLines w:val="0"/>
        <w:pageBreakBefore w:val="0"/>
        <w:kinsoku/>
        <w:wordWrap/>
        <w:overflowPunct/>
        <w:topLinePunct w:val="0"/>
        <w:bidi w:val="0"/>
        <w:adjustRightInd w:val="0"/>
        <w:snapToGrid w:val="0"/>
        <w:spacing w:line="590" w:lineRule="exact"/>
        <w:ind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三明市第一医院    陈腾千</w:t>
      </w:r>
    </w:p>
    <w:p>
      <w:pPr>
        <w:keepNext w:val="0"/>
        <w:keepLines w:val="0"/>
        <w:pageBreakBefore w:val="0"/>
        <w:kinsoku/>
        <w:wordWrap/>
        <w:overflowPunct/>
        <w:topLinePunct w:val="0"/>
        <w:bidi w:val="0"/>
        <w:adjustRightInd w:val="0"/>
        <w:snapToGrid w:val="0"/>
        <w:spacing w:line="590" w:lineRule="exact"/>
        <w:ind w:right="0" w:rightChars="0" w:firstLine="1920" w:firstLineChars="8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体表胃肠起搏治疗是非药物治疗胃肠运动障碍的方法之一。体表胃肠起搏治疗原理是</w:t>
      </w:r>
      <w:r>
        <w:rPr>
          <w:rFonts w:hint="eastAsia" w:ascii="仿宋_GB2312" w:hAnsi="仿宋_GB2312" w:eastAsia="仿宋_GB2312" w:cs="仿宋_GB2312"/>
          <w:i w:val="0"/>
          <w:caps w:val="0"/>
          <w:color w:val="000000"/>
          <w:spacing w:val="0"/>
          <w:sz w:val="32"/>
          <w:szCs w:val="32"/>
          <w:shd w:val="clear" w:color="auto" w:fill="FFFFFF"/>
        </w:rPr>
        <w:t>基于胃肠起搏点的电活动可被外加电流刺激所驱动，</w:t>
      </w:r>
      <w:r>
        <w:rPr>
          <w:rFonts w:hint="eastAsia" w:ascii="仿宋_GB2312" w:hAnsi="仿宋_GB2312" w:eastAsia="仿宋_GB2312" w:cs="仿宋_GB2312"/>
          <w:i w:val="0"/>
          <w:caps w:val="0"/>
          <w:color w:val="000000"/>
          <w:spacing w:val="0"/>
          <w:sz w:val="32"/>
          <w:szCs w:val="32"/>
          <w:shd w:val="clear" w:color="auto" w:fill="FFFFFF"/>
          <w:lang w:eastAsia="zh-CN"/>
        </w:rPr>
        <w:t>利用智能数字生物音频电技术模拟正常的胃肠生物电信号，作用于胃肠起搏点，使其产生“谐振效应”对异常胃肠电活动进行修复和加强，从而纠正异常胃肠电节律，抑制异位起搏点的电活动，促使胃肠道产生正常节律收缩及推进蠕动，刺激胃液（含有各种消化酶）的正常分泌，缓解或消除胃动力疾病和胃肠功能性疾病的症状</w:t>
      </w:r>
      <w:r>
        <w:rPr>
          <w:rFonts w:hint="eastAsia" w:ascii="仿宋_GB2312" w:hAnsi="仿宋_GB2312" w:eastAsia="仿宋_GB2312" w:cs="仿宋_GB2312"/>
          <w:i w:val="0"/>
          <w:caps w:val="0"/>
          <w:color w:val="000000"/>
          <w:spacing w:val="0"/>
          <w:sz w:val="32"/>
          <w:szCs w:val="32"/>
          <w:shd w:val="clear" w:color="auto" w:fill="FFFFFF"/>
        </w:rPr>
        <w:t>，</w:t>
      </w:r>
      <w:r>
        <w:rPr>
          <w:rFonts w:hint="eastAsia" w:ascii="仿宋_GB2312" w:hAnsi="仿宋_GB2312" w:eastAsia="仿宋_GB2312" w:cs="仿宋_GB2312"/>
          <w:i w:val="0"/>
          <w:caps w:val="0"/>
          <w:color w:val="000000"/>
          <w:spacing w:val="0"/>
          <w:sz w:val="32"/>
          <w:szCs w:val="32"/>
          <w:shd w:val="clear" w:color="auto" w:fill="FFFFFF"/>
          <w:lang w:eastAsia="zh-CN"/>
        </w:rPr>
        <w:t>最终实现治疗</w:t>
      </w:r>
      <w:r>
        <w:rPr>
          <w:rFonts w:hint="eastAsia" w:ascii="仿宋_GB2312" w:hAnsi="仿宋_GB2312" w:eastAsia="仿宋_GB2312" w:cs="仿宋_GB2312"/>
          <w:i w:val="0"/>
          <w:caps w:val="0"/>
          <w:color w:val="000000"/>
          <w:spacing w:val="0"/>
          <w:sz w:val="32"/>
          <w:szCs w:val="32"/>
          <w:shd w:val="clear" w:color="auto" w:fill="FFFFFF"/>
        </w:rPr>
        <w:t>的目的。</w:t>
      </w:r>
      <w:r>
        <w:rPr>
          <w:rFonts w:hint="eastAsia" w:ascii="仿宋_GB2312" w:hAnsi="仿宋_GB2312" w:eastAsia="仿宋_GB2312" w:cs="仿宋_GB2312"/>
          <w:i w:val="0"/>
          <w:caps w:val="0"/>
          <w:color w:val="000000"/>
          <w:spacing w:val="0"/>
          <w:sz w:val="32"/>
          <w:szCs w:val="32"/>
          <w:shd w:val="clear" w:color="auto" w:fill="FFFFFF"/>
          <w:lang w:eastAsia="zh-CN"/>
        </w:rPr>
        <w:t>近年来，</w:t>
      </w:r>
      <w:r>
        <w:rPr>
          <w:rFonts w:hint="eastAsia" w:ascii="仿宋_GB2312" w:hAnsi="仿宋_GB2312" w:eastAsia="仿宋_GB2312" w:cs="仿宋_GB2312"/>
          <w:color w:val="000000"/>
          <w:kern w:val="0"/>
          <w:sz w:val="32"/>
          <w:szCs w:val="32"/>
        </w:rPr>
        <w:t>体表胃肠起搏治疗</w:t>
      </w:r>
      <w:r>
        <w:rPr>
          <w:rFonts w:hint="eastAsia" w:ascii="仿宋_GB2312" w:hAnsi="仿宋_GB2312" w:eastAsia="仿宋_GB2312" w:cs="仿宋_GB2312"/>
          <w:color w:val="000000"/>
          <w:kern w:val="0"/>
          <w:sz w:val="32"/>
          <w:szCs w:val="32"/>
          <w:lang w:val="en-US" w:eastAsia="zh-CN" w:bidi="ar"/>
        </w:rPr>
        <w:t>在慢传输型便秘、胃食管返流、糖尿病胃轻瘫、功能性消化不良、胃下垂及外科术后胃肠功能恢复等方面已被证实具有安全、有效等优点，许多学者将其进一步应用于胃肠运动障碍性疾病的治疗。本文综合国内外近年来文献对体表胃肠起搏治疗在消化系统疾病中的最新应用进展进行简要综述如下。</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b/>
          <w:bCs/>
          <w:color w:val="000000"/>
          <w:kern w:val="0"/>
          <w:sz w:val="32"/>
          <w:szCs w:val="32"/>
          <w:lang w:val="en-US" w:eastAsia="zh-CN" w:bidi="ar"/>
        </w:rPr>
        <w:t>1.慢传输型便秘</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000000"/>
          <w:kern w:val="0"/>
          <w:sz w:val="32"/>
          <w:szCs w:val="32"/>
          <w:lang w:val="en-US" w:eastAsia="zh-CN" w:bidi="ar"/>
        </w:rPr>
        <w:t>慢传输型便秘(slow transit constipation，STC)是由于各种因素引起的结肠运动功能迟缓、传输粪便功能下降而导致的便秘，是临床上比较常见的一种症状，以胃肠道，特别是结肠动力减弱、无便意、大便次数减少为主要特点，多伴有长期服用大剂量泻剂史。慢传输型便秘患者以老年人为主，因</w:t>
      </w:r>
      <w:r>
        <w:rPr>
          <w:rFonts w:hint="eastAsia" w:ascii="仿宋_GB2312" w:hAnsi="仿宋_GB2312" w:eastAsia="仿宋_GB2312" w:cs="仿宋_GB2312"/>
          <w:color w:val="auto"/>
          <w:sz w:val="32"/>
          <w:szCs w:val="32"/>
        </w:rPr>
        <w:t>老年人由于脏器功能出现生理性衰退，加之各种合并症及牙齿不好等原因致运动量少，饮食过于精细，慢性便秘的发病率较其他群体大大增高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kern w:val="0"/>
          <w:sz w:val="32"/>
          <w:szCs w:val="32"/>
          <w:lang w:val="en-US" w:eastAsia="zh-CN" w:bidi="ar"/>
        </w:rPr>
        <w:t>慢传输型便秘临床常表现为左下腹有胀压感觉，下腹痉挛性疼痛，腹部胀满或胸腹闷胀不适，欲便不畅，便意感不强或无便意感，粪块干燥、坚实，还可伴有食欲减退、口苦、嗳气、气胀、多屁、头痛、头昏、疲乏无力等症状</w:t>
      </w:r>
      <w:r>
        <w:rPr>
          <w:rFonts w:hint="eastAsia" w:ascii="仿宋_GB2312" w:hAnsi="仿宋_GB2312" w:eastAsia="仿宋_GB2312" w:cs="仿宋_GB2312"/>
          <w:color w:val="auto"/>
          <w:sz w:val="32"/>
          <w:szCs w:val="32"/>
        </w:rPr>
        <w:t>。目前用于治疗</w:t>
      </w:r>
      <w:r>
        <w:rPr>
          <w:rFonts w:hint="eastAsia" w:ascii="仿宋_GB2312" w:hAnsi="仿宋_GB2312" w:eastAsia="仿宋_GB2312" w:cs="仿宋_GB2312"/>
          <w:color w:val="000000"/>
          <w:kern w:val="0"/>
          <w:sz w:val="32"/>
          <w:szCs w:val="32"/>
          <w:lang w:val="en-US" w:eastAsia="zh-CN" w:bidi="ar"/>
        </w:rPr>
        <w:t>慢传输型</w:t>
      </w:r>
      <w:r>
        <w:rPr>
          <w:rFonts w:hint="eastAsia" w:ascii="仿宋_GB2312" w:hAnsi="仿宋_GB2312" w:eastAsia="仿宋_GB2312" w:cs="仿宋_GB2312"/>
          <w:color w:val="auto"/>
          <w:sz w:val="32"/>
          <w:szCs w:val="32"/>
        </w:rPr>
        <w:t>便秘的方法主要有改变生活方式、药物疗法</w:t>
      </w:r>
      <w:r>
        <w:rPr>
          <w:rFonts w:hint="eastAsia" w:ascii="仿宋_GB2312" w:hAnsi="仿宋_GB2312" w:eastAsia="仿宋_GB2312" w:cs="仿宋_GB2312"/>
          <w:color w:val="auto"/>
          <w:sz w:val="32"/>
          <w:szCs w:val="32"/>
          <w:lang w:eastAsia="zh-CN"/>
        </w:rPr>
        <w:t>、手术及体表胃肠起搏治疗</w:t>
      </w:r>
      <w:r>
        <w:rPr>
          <w:rFonts w:hint="eastAsia" w:ascii="仿宋_GB2312" w:hAnsi="仿宋_GB2312" w:eastAsia="仿宋_GB2312" w:cs="仿宋_GB2312"/>
          <w:color w:val="auto"/>
          <w:sz w:val="32"/>
          <w:szCs w:val="32"/>
        </w:rPr>
        <w:t>等。由于</w:t>
      </w:r>
      <w:r>
        <w:rPr>
          <w:rFonts w:hint="eastAsia" w:ascii="仿宋_GB2312" w:hAnsi="仿宋_GB2312" w:eastAsia="仿宋_GB2312" w:cs="仿宋_GB2312"/>
          <w:color w:val="000000"/>
          <w:kern w:val="0"/>
          <w:sz w:val="32"/>
          <w:szCs w:val="32"/>
          <w:lang w:val="en-US" w:eastAsia="zh-CN" w:bidi="ar"/>
        </w:rPr>
        <w:t>慢传输型便秘患者以老年人为主，</w:t>
      </w:r>
      <w:r>
        <w:rPr>
          <w:rFonts w:hint="eastAsia" w:ascii="仿宋_GB2312" w:hAnsi="仿宋_GB2312" w:eastAsia="仿宋_GB2312" w:cs="仿宋_GB2312"/>
          <w:color w:val="auto"/>
          <w:sz w:val="32"/>
          <w:szCs w:val="32"/>
        </w:rPr>
        <w:t>老年患者各种生理、心理及共病等多种特殊原因，使得通过摄入足够的水分及膳食纤维、适当运动、改变排便习惯等改变生活方式来治疗便秘的方法难以实现</w:t>
      </w:r>
      <w:r>
        <w:rPr>
          <w:rFonts w:hint="eastAsia" w:ascii="仿宋_GB2312" w:hAnsi="仿宋_GB2312" w:eastAsia="仿宋_GB2312" w:cs="仿宋_GB2312"/>
          <w:color w:val="auto"/>
          <w:sz w:val="32"/>
          <w:szCs w:val="32"/>
          <w:lang w:eastAsia="zh-CN"/>
        </w:rPr>
        <w:t>。对于使用药物治疗，由于</w:t>
      </w:r>
      <w:r>
        <w:rPr>
          <w:rFonts w:hint="eastAsia" w:ascii="仿宋_GB2312" w:hAnsi="仿宋_GB2312" w:eastAsia="仿宋_GB2312" w:cs="仿宋_GB2312"/>
          <w:color w:val="auto"/>
          <w:sz w:val="32"/>
          <w:szCs w:val="32"/>
        </w:rPr>
        <w:t>有些</w:t>
      </w:r>
      <w:r>
        <w:rPr>
          <w:rFonts w:hint="eastAsia" w:ascii="仿宋_GB2312" w:hAnsi="仿宋_GB2312" w:eastAsia="仿宋_GB2312" w:cs="仿宋_GB2312"/>
          <w:color w:val="auto"/>
          <w:sz w:val="32"/>
          <w:szCs w:val="32"/>
          <w:lang w:eastAsia="zh-CN"/>
        </w:rPr>
        <w:t>老年患者常合并多种老年性疾病</w:t>
      </w:r>
      <w:r>
        <w:rPr>
          <w:rFonts w:hint="eastAsia" w:ascii="仿宋_GB2312" w:hAnsi="仿宋_GB2312" w:eastAsia="仿宋_GB2312" w:cs="仿宋_GB2312"/>
          <w:color w:val="auto"/>
          <w:sz w:val="32"/>
          <w:szCs w:val="32"/>
        </w:rPr>
        <w:t>如帕金森氏病本身可以继发便秘，使得药物治疗效果差</w:t>
      </w:r>
      <w:r>
        <w:rPr>
          <w:rFonts w:hint="eastAsia" w:ascii="仿宋_GB2312" w:hAnsi="仿宋_GB2312" w:eastAsia="仿宋_GB2312" w:cs="仿宋_GB2312"/>
          <w:color w:val="auto"/>
          <w:sz w:val="32"/>
          <w:szCs w:val="32"/>
          <w:lang w:eastAsia="zh-CN"/>
        </w:rPr>
        <w:t>，同时</w:t>
      </w:r>
      <w:r>
        <w:rPr>
          <w:rStyle w:val="6"/>
          <w:rFonts w:hint="eastAsia" w:ascii="仿宋_GB2312" w:hAnsi="仿宋_GB2312" w:eastAsia="仿宋_GB2312" w:cs="仿宋_GB2312"/>
          <w:color w:val="auto"/>
          <w:sz w:val="32"/>
          <w:szCs w:val="32"/>
        </w:rPr>
        <w:t>选择泻药时，需仔细评估老年患者肝肾功能状况和考虑共病、同服药物之间相互作用及潜在的副作用</w:t>
      </w:r>
      <w:r>
        <w:rPr>
          <w:rFonts w:hint="eastAsia" w:ascii="仿宋_GB2312" w:hAnsi="仿宋_GB2312" w:eastAsia="仿宋_GB2312" w:cs="仿宋_GB2312"/>
          <w:color w:val="auto"/>
          <w:sz w:val="32"/>
          <w:szCs w:val="32"/>
        </w:rPr>
        <w:t>，故能用于治疗老年</w:t>
      </w:r>
      <w:r>
        <w:rPr>
          <w:rFonts w:hint="eastAsia" w:ascii="仿宋_GB2312" w:hAnsi="仿宋_GB2312" w:eastAsia="仿宋_GB2312" w:cs="仿宋_GB2312"/>
          <w:color w:val="auto"/>
          <w:sz w:val="32"/>
          <w:szCs w:val="32"/>
          <w:lang w:eastAsia="zh-CN"/>
        </w:rPr>
        <w:t>患者</w:t>
      </w:r>
      <w:r>
        <w:rPr>
          <w:rFonts w:hint="eastAsia" w:ascii="仿宋_GB2312" w:hAnsi="仿宋_GB2312" w:eastAsia="仿宋_GB2312" w:cs="仿宋_GB2312"/>
          <w:color w:val="auto"/>
          <w:sz w:val="32"/>
          <w:szCs w:val="32"/>
        </w:rPr>
        <w:t>的安全有效的泻药较少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sz w:val="32"/>
          <w:szCs w:val="32"/>
          <w:lang w:eastAsia="zh-CN"/>
        </w:rPr>
        <w:t>且长期使用</w:t>
      </w:r>
      <w:r>
        <w:rPr>
          <w:rFonts w:hint="eastAsia" w:ascii="仿宋_GB2312" w:hAnsi="仿宋_GB2312" w:eastAsia="仿宋_GB2312" w:cs="仿宋_GB2312"/>
          <w:color w:val="000000"/>
          <w:kern w:val="0"/>
          <w:sz w:val="32"/>
          <w:szCs w:val="32"/>
          <w:lang w:val="en-US" w:eastAsia="zh-CN" w:bidi="ar"/>
        </w:rPr>
        <w:t>泻药不但会产生对泻药的依赖性，还可能引起肠黏膜黑变病甚至癌变</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因此，体表胃肠起搏治疗在</w:t>
      </w:r>
      <w:r>
        <w:rPr>
          <w:rFonts w:hint="eastAsia" w:ascii="仿宋_GB2312" w:hAnsi="仿宋_GB2312" w:eastAsia="仿宋_GB2312" w:cs="仿宋_GB2312"/>
          <w:color w:val="000000"/>
          <w:kern w:val="0"/>
          <w:sz w:val="32"/>
          <w:szCs w:val="32"/>
          <w:lang w:val="en-US" w:eastAsia="zh-CN" w:bidi="ar"/>
        </w:rPr>
        <w:t>慢传输型便秘中的治疗尤为重要。国内杨洁等研究发现，通过胃肠起搏治疗, 慢传输型便秘患者在结肠通过时间和腹痛、腹胀和便意感等症状方面都可以有显著改善，且</w:t>
      </w:r>
      <w:r>
        <w:rPr>
          <w:rFonts w:hint="eastAsia" w:ascii="仿宋_GB2312" w:hAnsi="仿宋_GB2312" w:eastAsia="仿宋_GB2312" w:cs="仿宋_GB2312"/>
          <w:color w:val="auto"/>
          <w:sz w:val="32"/>
          <w:szCs w:val="32"/>
        </w:rPr>
        <w:t>胃肠起搏器轻巧便捷，可床旁使用，不受时间、地点限制，</w:t>
      </w:r>
      <w:r>
        <w:rPr>
          <w:rFonts w:hint="eastAsia" w:ascii="仿宋_GB2312" w:hAnsi="仿宋_GB2312" w:eastAsia="仿宋_GB2312" w:cs="仿宋_GB2312"/>
          <w:color w:val="000000"/>
          <w:kern w:val="0"/>
          <w:sz w:val="32"/>
          <w:szCs w:val="32"/>
          <w:lang w:val="en-US" w:eastAsia="zh-CN" w:bidi="ar"/>
        </w:rPr>
        <w:t>简单易行、操作方便 、无痛苦、无创伤、无副作用等优点。同时，近期我院张生君等研究发现，</w:t>
      </w:r>
      <w:r>
        <w:rPr>
          <w:rFonts w:hint="eastAsia" w:ascii="仿宋_GB2312" w:hAnsi="仿宋_GB2312" w:eastAsia="仿宋_GB2312" w:cs="仿宋_GB2312"/>
          <w:color w:val="auto"/>
          <w:sz w:val="32"/>
          <w:szCs w:val="32"/>
        </w:rPr>
        <w:t>体表胃肠起搏</w:t>
      </w:r>
      <w:r>
        <w:rPr>
          <w:rFonts w:hint="eastAsia" w:ascii="仿宋_GB2312" w:hAnsi="仿宋_GB2312" w:eastAsia="仿宋_GB2312" w:cs="仿宋_GB2312"/>
          <w:color w:val="auto"/>
          <w:sz w:val="32"/>
          <w:szCs w:val="32"/>
          <w:lang w:eastAsia="zh-CN"/>
        </w:rPr>
        <w:t>配合</w:t>
      </w:r>
      <w:r>
        <w:rPr>
          <w:rFonts w:hint="eastAsia" w:ascii="仿宋_GB2312" w:hAnsi="仿宋_GB2312" w:eastAsia="仿宋_GB2312" w:cs="仿宋_GB2312"/>
          <w:color w:val="auto"/>
          <w:sz w:val="32"/>
          <w:szCs w:val="32"/>
        </w:rPr>
        <w:t>乳果糖治疗</w:t>
      </w:r>
      <w:r>
        <w:rPr>
          <w:rFonts w:hint="eastAsia" w:ascii="仿宋_GB2312" w:hAnsi="仿宋_GB2312" w:eastAsia="仿宋_GB2312" w:cs="仿宋_GB2312"/>
          <w:color w:val="auto"/>
          <w:sz w:val="32"/>
          <w:szCs w:val="32"/>
          <w:lang w:eastAsia="zh-CN"/>
        </w:rPr>
        <w:t>对</w:t>
      </w:r>
      <w:r>
        <w:rPr>
          <w:rFonts w:hint="eastAsia" w:ascii="仿宋_GB2312" w:hAnsi="仿宋_GB2312" w:eastAsia="仿宋_GB2312" w:cs="仿宋_GB2312"/>
          <w:color w:val="auto"/>
          <w:sz w:val="32"/>
          <w:szCs w:val="32"/>
        </w:rPr>
        <w:t>改善腹胀、排便费力等便秘症状</w:t>
      </w:r>
      <w:r>
        <w:rPr>
          <w:rFonts w:hint="eastAsia" w:ascii="仿宋_GB2312" w:hAnsi="仿宋_GB2312" w:eastAsia="仿宋_GB2312" w:cs="仿宋_GB2312"/>
          <w:color w:val="auto"/>
          <w:sz w:val="32"/>
          <w:szCs w:val="32"/>
          <w:lang w:eastAsia="zh-CN"/>
        </w:rPr>
        <w:t>及</w:t>
      </w:r>
      <w:r>
        <w:rPr>
          <w:rFonts w:hint="eastAsia" w:ascii="仿宋_GB2312" w:hAnsi="仿宋_GB2312" w:eastAsia="仿宋_GB2312" w:cs="仿宋_GB2312"/>
          <w:color w:val="auto"/>
          <w:sz w:val="32"/>
          <w:szCs w:val="32"/>
        </w:rPr>
        <w:t>增加排便次数、改善大便性状方面</w:t>
      </w:r>
      <w:r>
        <w:rPr>
          <w:rFonts w:hint="eastAsia" w:ascii="仿宋_GB2312" w:hAnsi="仿宋_GB2312" w:eastAsia="仿宋_GB2312" w:cs="仿宋_GB2312"/>
          <w:color w:val="auto"/>
          <w:sz w:val="32"/>
          <w:szCs w:val="32"/>
          <w:lang w:eastAsia="zh-CN"/>
        </w:rPr>
        <w:t>效果更佳。</w:t>
      </w:r>
    </w:p>
    <w:p>
      <w:pPr>
        <w:keepNext w:val="0"/>
        <w:keepLines w:val="0"/>
        <w:pageBreakBefore w:val="0"/>
        <w:widowControl/>
        <w:numPr>
          <w:ilvl w:val="0"/>
          <w:numId w:val="0"/>
        </w:numPr>
        <w:suppressLineNumbers w:val="0"/>
        <w:tabs>
          <w:tab w:val="left" w:pos="1281"/>
        </w:tabs>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2.肠易激综合征</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sz w:val="32"/>
          <w:szCs w:val="32"/>
          <w:lang w:val="en-US" w:eastAsia="zh-CN"/>
        </w:rPr>
        <w:t>肠易激综合征（</w:t>
      </w:r>
      <w:r>
        <w:rPr>
          <w:rFonts w:hint="eastAsia" w:ascii="仿宋_GB2312" w:hAnsi="仿宋_GB2312" w:eastAsia="仿宋_GB2312" w:cs="仿宋_GB2312"/>
          <w:i w:val="0"/>
          <w:caps w:val="0"/>
          <w:color w:val="000000"/>
          <w:spacing w:val="0"/>
          <w:sz w:val="32"/>
          <w:szCs w:val="32"/>
          <w:shd w:val="clear" w:color="auto" w:fill="FFFFFF"/>
        </w:rPr>
        <w:t>irritable bowel syndrome,IBS</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kern w:val="0"/>
          <w:sz w:val="32"/>
          <w:szCs w:val="32"/>
          <w:lang w:val="en-US" w:eastAsia="zh-CN" w:bidi="ar"/>
        </w:rPr>
        <w:t>是一种常见的功能性肠病, 症状持续或间歇发作, 人群总体发生率约为10%～15%,年发病率约为1%～2%。临床上</w:t>
      </w:r>
      <w:r>
        <w:rPr>
          <w:rFonts w:hint="eastAsia" w:ascii="仿宋_GB2312" w:hAnsi="仿宋_GB2312" w:eastAsia="仿宋_GB2312" w:cs="仿宋_GB2312"/>
          <w:i w:val="0"/>
          <w:caps w:val="0"/>
          <w:color w:val="000000"/>
          <w:spacing w:val="0"/>
          <w:sz w:val="32"/>
          <w:szCs w:val="32"/>
          <w:shd w:val="clear" w:color="auto" w:fill="FFFFFF"/>
        </w:rPr>
        <w:t>以腹痛或腹部不适为主要症状，排便后症状多改善，常伴有排便习惯及大便性状改变，但无器质性病变，多发生于中青年</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i w:val="0"/>
          <w:caps w:val="0"/>
          <w:color w:val="000000"/>
          <w:spacing w:val="0"/>
          <w:sz w:val="32"/>
          <w:szCs w:val="32"/>
          <w:shd w:val="clear" w:color="auto" w:fill="FFFFFF"/>
        </w:rPr>
        <w:t>女性多见</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color w:val="231F20"/>
          <w:kern w:val="0"/>
          <w:sz w:val="32"/>
          <w:szCs w:val="32"/>
          <w:lang w:val="en-US" w:eastAsia="zh-CN" w:bidi="ar"/>
        </w:rPr>
        <w:t>IBS的征候群缺乏生化或形态学解释，其病因可能与胃肠动力障碍、肠道感染、胃肠激素、内脏感觉异常、遗传因素、饮食习惯改变和肠道菌群失调等有关, 同一患者常存在多种病因同时发挥作用。20世纪50年代以来, 人们发现IBS患者的肠道运动存在异常；70～90年代，许多研究发现IBS患者的结肠或小肠通过时间与常人不同，结肠袋状收缩也有异常改变；新世纪以来，多项研究发现IBS患者的直肠运动和压力具有异常变化，直肠、肛管静息压和最大缩榨压升高(便秘型IBS患者最大缩榨压降低)，为IBS患者存在动力异常提供了证据。IBS</w:t>
      </w:r>
      <w:r>
        <w:rPr>
          <w:rFonts w:hint="eastAsia" w:ascii="仿宋_GB2312" w:hAnsi="仿宋_GB2312" w:eastAsia="仿宋_GB2312" w:cs="仿宋_GB2312"/>
          <w:i w:val="0"/>
          <w:caps w:val="0"/>
          <w:color w:val="333333"/>
          <w:spacing w:val="0"/>
          <w:sz w:val="32"/>
          <w:szCs w:val="32"/>
          <w:shd w:val="clear" w:color="auto" w:fill="FFFFFF"/>
          <w:lang w:eastAsia="zh-CN"/>
        </w:rPr>
        <w:t>治疗</w:t>
      </w:r>
      <w:r>
        <w:rPr>
          <w:rFonts w:hint="eastAsia" w:ascii="仿宋_GB2312" w:hAnsi="仿宋_GB2312" w:eastAsia="仿宋_GB2312" w:cs="仿宋_GB2312"/>
          <w:i w:val="0"/>
          <w:caps w:val="0"/>
          <w:color w:val="333333"/>
          <w:spacing w:val="0"/>
          <w:sz w:val="32"/>
          <w:szCs w:val="32"/>
          <w:shd w:val="clear" w:color="auto" w:fill="FFFFFF"/>
        </w:rPr>
        <w:t>主要通过药物治疗改善</w:t>
      </w:r>
      <w:r>
        <w:rPr>
          <w:rFonts w:hint="eastAsia" w:ascii="仿宋_GB2312" w:hAnsi="仿宋_GB2312" w:eastAsia="仿宋_GB2312" w:cs="仿宋_GB2312"/>
          <w:i w:val="0"/>
          <w:caps w:val="0"/>
          <w:color w:val="333333"/>
          <w:spacing w:val="0"/>
          <w:sz w:val="32"/>
          <w:szCs w:val="32"/>
          <w:shd w:val="clear" w:color="auto" w:fill="FFFFFF"/>
          <w:lang w:eastAsia="zh-CN"/>
        </w:rPr>
        <w:t>症状</w:t>
      </w:r>
      <w:r>
        <w:rPr>
          <w:rFonts w:hint="eastAsia" w:ascii="仿宋_GB2312" w:hAnsi="仿宋_GB2312" w:eastAsia="仿宋_GB2312" w:cs="仿宋_GB2312"/>
          <w:i w:val="0"/>
          <w:caps w:val="0"/>
          <w:color w:val="333333"/>
          <w:spacing w:val="0"/>
          <w:sz w:val="32"/>
          <w:szCs w:val="32"/>
          <w:shd w:val="clear" w:color="auto" w:fill="FFFFFF"/>
        </w:rPr>
        <w:t>，</w:t>
      </w:r>
      <w:r>
        <w:rPr>
          <w:rFonts w:hint="eastAsia" w:ascii="仿宋_GB2312" w:hAnsi="仿宋_GB2312" w:eastAsia="仿宋_GB2312" w:cs="仿宋_GB2312"/>
          <w:color w:val="231F20"/>
          <w:kern w:val="0"/>
          <w:sz w:val="32"/>
          <w:szCs w:val="32"/>
          <w:lang w:val="en-US" w:eastAsia="zh-CN" w:bidi="ar"/>
        </w:rPr>
        <w:t>目前用于治疗IBS的药物虽然较多，但多为调节肠道菌群的益生菌制剂和钙拮抗剂, 尚无一种药物对所有IBS患者确切有效，且症状易反复多变，治疗困难。体表胃肠起搏治疗因其独特的</w:t>
      </w:r>
      <w:r>
        <w:rPr>
          <w:rFonts w:hint="eastAsia" w:ascii="仿宋_GB2312" w:hAnsi="仿宋_GB2312" w:eastAsia="仿宋_GB2312" w:cs="仿宋_GB2312"/>
          <w:i w:val="0"/>
          <w:caps w:val="0"/>
          <w:color w:val="000000"/>
          <w:spacing w:val="0"/>
          <w:sz w:val="32"/>
          <w:szCs w:val="32"/>
          <w:shd w:val="clear" w:color="auto" w:fill="FFFFFF"/>
          <w:lang w:eastAsia="zh-CN"/>
        </w:rPr>
        <w:t>纠正异常胃肠电节律作用，在</w:t>
      </w:r>
      <w:r>
        <w:rPr>
          <w:rFonts w:hint="eastAsia" w:ascii="仿宋_GB2312" w:hAnsi="仿宋_GB2312" w:eastAsia="仿宋_GB2312" w:cs="仿宋_GB2312"/>
          <w:color w:val="231F20"/>
          <w:kern w:val="0"/>
          <w:sz w:val="32"/>
          <w:szCs w:val="32"/>
          <w:lang w:val="en-US" w:eastAsia="zh-CN" w:bidi="ar"/>
        </w:rPr>
        <w:t>IBS的治疗中取得显著的疗效。国内张敏红等研究发现，</w:t>
      </w:r>
      <w:r>
        <w:rPr>
          <w:rFonts w:hint="eastAsia" w:ascii="仿宋_GB2312" w:hAnsi="仿宋_GB2312" w:eastAsia="仿宋_GB2312" w:cs="仿宋_GB2312"/>
          <w:color w:val="000000"/>
          <w:kern w:val="0"/>
          <w:sz w:val="32"/>
          <w:szCs w:val="32"/>
          <w:lang w:val="en-US" w:eastAsia="zh-CN" w:bidi="ar"/>
        </w:rPr>
        <w:t>IBS患者经体外胃肠起搏治疗后，腹痛和(或) 腹部不适、腹胀、排便次数和粪便性状均有明显改善，提示胃肠起搏在短期内对改善 IBS 患者的胃肠道症状效果显著，但要明确其远期疗效及其对神经内分泌系统是 否有影响, 还需进行大量临床研究和随访。</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b/>
          <w:bCs/>
          <w:color w:val="000000"/>
          <w:kern w:val="0"/>
          <w:sz w:val="32"/>
          <w:szCs w:val="32"/>
          <w:lang w:val="en-US" w:eastAsia="zh-CN" w:bidi="ar"/>
        </w:rPr>
        <w:t>3.功能性消化不良</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i w:val="0"/>
          <w:caps w:val="0"/>
          <w:color w:val="000000"/>
          <w:spacing w:val="0"/>
          <w:sz w:val="32"/>
          <w:szCs w:val="32"/>
          <w:shd w:val="clear" w:color="auto" w:fill="FFFFFF"/>
        </w:rPr>
        <w:t>功能性消化不良</w:t>
      </w:r>
      <w:r>
        <w:rPr>
          <w:rFonts w:hint="eastAsia" w:ascii="仿宋_GB2312" w:hAnsi="仿宋_GB2312" w:eastAsia="仿宋_GB2312" w:cs="仿宋_GB2312"/>
          <w:color w:val="000000"/>
          <w:kern w:val="0"/>
          <w:sz w:val="32"/>
          <w:szCs w:val="32"/>
        </w:rPr>
        <w:t>(functional dyspepsia，FD)</w:t>
      </w:r>
      <w:r>
        <w:rPr>
          <w:rFonts w:hint="eastAsia" w:ascii="仿宋_GB2312" w:hAnsi="仿宋_GB2312" w:eastAsia="仿宋_GB2312" w:cs="仿宋_GB2312"/>
          <w:i w:val="0"/>
          <w:caps w:val="0"/>
          <w:color w:val="000000"/>
          <w:spacing w:val="0"/>
          <w:sz w:val="32"/>
          <w:szCs w:val="32"/>
          <w:shd w:val="clear" w:color="auto" w:fill="FFFFFF"/>
        </w:rPr>
        <w:t>是由胃和十二指肠功能紊乱引起没有器质性疾病的一组临床综合征，也是一种常见的功能性胃肠病</w:t>
      </w:r>
      <w:r>
        <w:rPr>
          <w:rFonts w:hint="eastAsia" w:ascii="仿宋_GB2312" w:hAnsi="仿宋_GB2312" w:eastAsia="仿宋_GB2312" w:cs="仿宋_GB2312"/>
          <w:i w:val="0"/>
          <w:caps w:val="0"/>
          <w:color w:val="000000"/>
          <w:spacing w:val="0"/>
          <w:sz w:val="32"/>
          <w:szCs w:val="32"/>
          <w:shd w:val="clear" w:color="auto" w:fill="FFFFFF"/>
          <w:lang w:eastAsia="zh-CN"/>
        </w:rPr>
        <w:t>，其发病率很高，国外文献报道为</w:t>
      </w:r>
      <w:r>
        <w:rPr>
          <w:rFonts w:hint="eastAsia" w:ascii="仿宋_GB2312" w:hAnsi="仿宋_GB2312" w:eastAsia="仿宋_GB2312" w:cs="仿宋_GB2312"/>
          <w:i w:val="0"/>
          <w:caps w:val="0"/>
          <w:color w:val="000000"/>
          <w:spacing w:val="0"/>
          <w:sz w:val="32"/>
          <w:szCs w:val="32"/>
          <w:shd w:val="clear" w:color="auto" w:fill="FFFFFF"/>
          <w:lang w:val="en-US" w:eastAsia="zh-CN"/>
        </w:rPr>
        <w:t>20</w:t>
      </w:r>
      <w:r>
        <w:rPr>
          <w:rFonts w:hint="eastAsia" w:ascii="仿宋_GB2312" w:hAnsi="仿宋_GB2312" w:eastAsia="仿宋_GB2312" w:cs="仿宋_GB2312"/>
          <w:color w:val="000000"/>
          <w:kern w:val="0"/>
          <w:sz w:val="32"/>
          <w:szCs w:val="32"/>
          <w:lang w:val="en-US" w:eastAsia="zh-CN" w:bidi="ar"/>
        </w:rPr>
        <w:t>～</w:t>
      </w:r>
      <w:r>
        <w:rPr>
          <w:rFonts w:hint="eastAsia" w:ascii="仿宋_GB2312" w:hAnsi="仿宋_GB2312" w:eastAsia="仿宋_GB2312" w:cs="仿宋_GB2312"/>
          <w:i w:val="0"/>
          <w:caps w:val="0"/>
          <w:color w:val="000000"/>
          <w:spacing w:val="0"/>
          <w:sz w:val="32"/>
          <w:szCs w:val="32"/>
          <w:shd w:val="clear" w:color="auto" w:fill="FFFFFF"/>
          <w:lang w:val="en-US" w:eastAsia="zh-CN"/>
        </w:rPr>
        <w:t>40%，国内研究约为20%</w:t>
      </w:r>
      <w:r>
        <w:rPr>
          <w:rFonts w:hint="eastAsia" w:ascii="仿宋_GB2312" w:hAnsi="仿宋_GB2312" w:eastAsia="仿宋_GB2312" w:cs="仿宋_GB2312"/>
          <w:i w:val="0"/>
          <w:caps w:val="0"/>
          <w:color w:val="000000"/>
          <w:spacing w:val="0"/>
          <w:sz w:val="32"/>
          <w:szCs w:val="32"/>
          <w:shd w:val="clear" w:color="auto" w:fill="FFFFFF"/>
        </w:rPr>
        <w:t>。</w:t>
      </w:r>
      <w:r>
        <w:rPr>
          <w:rFonts w:hint="eastAsia" w:ascii="仿宋_GB2312" w:hAnsi="仿宋_GB2312" w:eastAsia="仿宋_GB2312" w:cs="仿宋_GB2312"/>
          <w:i w:val="0"/>
          <w:caps w:val="0"/>
          <w:color w:val="000000"/>
          <w:spacing w:val="0"/>
          <w:sz w:val="32"/>
          <w:szCs w:val="32"/>
          <w:shd w:val="clear" w:color="auto" w:fill="FFFFFF"/>
          <w:lang w:val="en-US" w:eastAsia="zh-CN"/>
        </w:rPr>
        <w:t>其</w:t>
      </w:r>
      <w:r>
        <w:rPr>
          <w:rFonts w:hint="eastAsia" w:ascii="仿宋_GB2312" w:hAnsi="仿宋_GB2312" w:eastAsia="仿宋_GB2312" w:cs="仿宋_GB2312"/>
          <w:i w:val="0"/>
          <w:caps w:val="0"/>
          <w:color w:val="000000"/>
          <w:spacing w:val="0"/>
          <w:sz w:val="32"/>
          <w:szCs w:val="32"/>
          <w:shd w:val="clear" w:color="auto" w:fill="FFFFFF"/>
          <w:lang w:eastAsia="zh-CN"/>
        </w:rPr>
        <w:t>临床</w:t>
      </w:r>
      <w:r>
        <w:rPr>
          <w:rFonts w:hint="eastAsia" w:ascii="仿宋_GB2312" w:hAnsi="仿宋_GB2312" w:eastAsia="仿宋_GB2312" w:cs="仿宋_GB2312"/>
          <w:i w:val="0"/>
          <w:caps w:val="0"/>
          <w:color w:val="000000"/>
          <w:spacing w:val="0"/>
          <w:sz w:val="32"/>
          <w:szCs w:val="32"/>
          <w:shd w:val="clear" w:color="auto" w:fill="FFFFFF"/>
        </w:rPr>
        <w:t>表现</w:t>
      </w:r>
      <w:r>
        <w:rPr>
          <w:rFonts w:hint="eastAsia" w:ascii="仿宋_GB2312" w:hAnsi="仿宋_GB2312" w:eastAsia="仿宋_GB2312" w:cs="仿宋_GB2312"/>
          <w:i w:val="0"/>
          <w:caps w:val="0"/>
          <w:color w:val="000000"/>
          <w:spacing w:val="0"/>
          <w:sz w:val="32"/>
          <w:szCs w:val="32"/>
          <w:shd w:val="clear" w:color="auto" w:fill="FFFFFF"/>
          <w:lang w:eastAsia="zh-CN"/>
        </w:rPr>
        <w:t>主要为</w:t>
      </w:r>
      <w:r>
        <w:rPr>
          <w:rFonts w:hint="eastAsia" w:ascii="仿宋_GB2312" w:hAnsi="仿宋_GB2312" w:eastAsia="仿宋_GB2312" w:cs="仿宋_GB2312"/>
          <w:i w:val="0"/>
          <w:caps w:val="0"/>
          <w:color w:val="000000"/>
          <w:spacing w:val="0"/>
          <w:sz w:val="32"/>
          <w:szCs w:val="32"/>
          <w:shd w:val="clear" w:color="auto" w:fill="FFFFFF"/>
        </w:rPr>
        <w:t>餐后饱胀、早饱感、上腹胀痛、嗳气等症状，起病一般缓慢，呈持续性或反复发作，可以由饮食、精神因素诱发。</w:t>
      </w:r>
      <w:r>
        <w:rPr>
          <w:rFonts w:hint="eastAsia" w:ascii="仿宋_GB2312" w:hAnsi="仿宋_GB2312" w:eastAsia="仿宋_GB2312" w:cs="仿宋_GB2312"/>
          <w:color w:val="000000"/>
          <w:kern w:val="0"/>
          <w:sz w:val="32"/>
          <w:szCs w:val="32"/>
        </w:rPr>
        <w:t>FD发病机制尚未完全明确，</w:t>
      </w:r>
      <w:r>
        <w:rPr>
          <w:rFonts w:hint="eastAsia" w:ascii="仿宋_GB2312" w:hAnsi="仿宋_GB2312" w:eastAsia="仿宋_GB2312" w:cs="仿宋_GB2312"/>
          <w:color w:val="000000"/>
          <w:kern w:val="0"/>
          <w:sz w:val="32"/>
          <w:szCs w:val="32"/>
          <w:lang w:eastAsia="zh-CN"/>
        </w:rPr>
        <w:t>目前发现可能与以下多种因素有关：①胃肠动力障碍；②内脏感觉过敏；③胃底对食物的容受性舒张功能下降；④精神和社会因素</w:t>
      </w:r>
      <w:r>
        <w:rPr>
          <w:rFonts w:hint="eastAsia" w:ascii="仿宋_GB2312" w:hAnsi="仿宋_GB2312" w:eastAsia="仿宋_GB2312" w:cs="仿宋_GB2312"/>
          <w:color w:val="000000"/>
          <w:kern w:val="0"/>
          <w:sz w:val="32"/>
          <w:szCs w:val="32"/>
          <w:lang w:val="en-US" w:eastAsia="zh-CN"/>
        </w:rPr>
        <w:t>。根据</w:t>
      </w:r>
      <w:r>
        <w:rPr>
          <w:rFonts w:hint="eastAsia" w:ascii="仿宋_GB2312" w:hAnsi="仿宋_GB2312" w:eastAsia="仿宋_GB2312" w:cs="仿宋_GB2312"/>
          <w:color w:val="000000"/>
          <w:kern w:val="0"/>
          <w:sz w:val="32"/>
          <w:szCs w:val="32"/>
          <w:lang w:val="en-US" w:eastAsia="zh-CN" w:bidi="ar"/>
        </w:rPr>
        <w:t>罗马Ⅳ标准将FD分为餐后不适综合征（postprandial distress syndrome,PDS）和上腹痛综合征(epigastric pain syndrome,EPS)。其中PDS患者以餐后饱胀及早饱为主，主要与胃动力障碍有关。而胃肠道动力障碍常与胃肠电活动异常并存。在胃肠道，能驱动平滑肌收缩，控制胃肠道基本电节律的某一特定区域，称为胃肠起搏点。目前电生理和形态学的研究已证明Cajal间质细胞是胃肠运动的起搏细胞，主要分布在消化道自主神经末梢与平滑肌细胞之间，位于环形肌黏膜下边缘及肠肌丛，类似于心肌细胞的起搏细胞，不仅是胃肠电活动的起搏者，也是慢波的主要传播者。因此，体表胃肠起搏治疗对胃肠道的起搏点独特的电刺激作用，为其在功能性消化不良的应用提供了依据。国内吴高钰等研究证实，</w:t>
      </w:r>
      <w:r>
        <w:rPr>
          <w:rFonts w:hint="eastAsia" w:ascii="仿宋_GB2312" w:hAnsi="仿宋_GB2312" w:eastAsia="仿宋_GB2312" w:cs="仿宋_GB2312"/>
          <w:color w:val="231F20"/>
          <w:kern w:val="0"/>
          <w:sz w:val="32"/>
          <w:szCs w:val="32"/>
          <w:lang w:val="en-US" w:eastAsia="zh-CN" w:bidi="ar"/>
        </w:rPr>
        <w:t>体表胃肠起搏是治疗PDS的有效方法，可缓解症状、改善胃排空、提高患者生活质量。</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b/>
          <w:bCs/>
          <w:color w:val="231F20"/>
          <w:kern w:val="0"/>
          <w:sz w:val="32"/>
          <w:szCs w:val="32"/>
          <w:lang w:val="en-US" w:eastAsia="zh-CN" w:bidi="ar"/>
        </w:rPr>
      </w:pPr>
      <w:r>
        <w:rPr>
          <w:rFonts w:hint="eastAsia" w:ascii="仿宋_GB2312" w:hAnsi="仿宋_GB2312" w:eastAsia="仿宋_GB2312" w:cs="仿宋_GB2312"/>
          <w:b/>
          <w:bCs/>
          <w:color w:val="231F20"/>
          <w:kern w:val="0"/>
          <w:sz w:val="32"/>
          <w:szCs w:val="32"/>
          <w:lang w:val="en-US" w:eastAsia="zh-CN" w:bidi="ar"/>
        </w:rPr>
        <w:t>4.胃食管反流病</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胃食管反流病</w:t>
      </w:r>
      <w:r>
        <w:rPr>
          <w:rFonts w:hint="eastAsia" w:ascii="仿宋_GB2312" w:hAnsi="仿宋_GB2312" w:eastAsia="仿宋_GB2312" w:cs="仿宋_GB2312"/>
          <w:color w:val="231F20"/>
          <w:kern w:val="0"/>
          <w:sz w:val="32"/>
          <w:szCs w:val="32"/>
          <w:lang w:val="en-US" w:eastAsia="zh-CN" w:bidi="ar"/>
        </w:rPr>
        <w:t>（gastroesophageal reflux disease,GERD）</w:t>
      </w:r>
      <w:r>
        <w:rPr>
          <w:rFonts w:hint="eastAsia" w:ascii="仿宋_GB2312" w:hAnsi="仿宋_GB2312" w:eastAsia="仿宋_GB2312" w:cs="仿宋_GB2312"/>
          <w:color w:val="000000"/>
          <w:kern w:val="0"/>
          <w:sz w:val="32"/>
          <w:szCs w:val="32"/>
          <w:lang w:val="en-US" w:eastAsia="zh-CN" w:bidi="ar"/>
        </w:rPr>
        <w:t>是胃和十二指肠内容物的反流致食管粘膜的炎症，临床主要表现为胸痛、反酸及烧心等。研究显示全球</w:t>
      </w:r>
      <w:r>
        <w:rPr>
          <w:rFonts w:hint="eastAsia" w:ascii="仿宋_GB2312" w:hAnsi="仿宋_GB2312" w:eastAsia="仿宋_GB2312" w:cs="仿宋_GB2312"/>
          <w:color w:val="231F20"/>
          <w:kern w:val="0"/>
          <w:sz w:val="32"/>
          <w:szCs w:val="32"/>
          <w:lang w:val="en-US" w:eastAsia="zh-CN" w:bidi="ar"/>
        </w:rPr>
        <w:t>GERD</w:t>
      </w:r>
      <w:r>
        <w:rPr>
          <w:rFonts w:hint="eastAsia" w:ascii="仿宋_GB2312" w:hAnsi="仿宋_GB2312" w:eastAsia="仿宋_GB2312" w:cs="仿宋_GB2312"/>
          <w:color w:val="000000"/>
          <w:kern w:val="0"/>
          <w:sz w:val="32"/>
          <w:szCs w:val="32"/>
          <w:lang w:val="en-US" w:eastAsia="zh-CN" w:bidi="ar"/>
        </w:rPr>
        <w:t>平均发病率约为13.3%，且呈逐年升高的趋势，</w:t>
      </w:r>
      <w:r>
        <w:rPr>
          <w:rFonts w:hint="eastAsia" w:ascii="仿宋_GB2312" w:hAnsi="仿宋_GB2312" w:eastAsia="仿宋_GB2312" w:cs="仿宋_GB2312"/>
          <w:color w:val="231F20"/>
          <w:kern w:val="0"/>
          <w:sz w:val="32"/>
          <w:szCs w:val="32"/>
          <w:lang w:val="en-US" w:eastAsia="zh-CN" w:bidi="ar"/>
        </w:rPr>
        <w:t>严重影响人们的健康及生活质量</w:t>
      </w:r>
      <w:r>
        <w:rPr>
          <w:rFonts w:hint="eastAsia" w:ascii="仿宋_GB2312" w:hAnsi="仿宋_GB2312" w:eastAsia="仿宋_GB2312" w:cs="仿宋_GB2312"/>
          <w:color w:val="000000"/>
          <w:kern w:val="0"/>
          <w:sz w:val="32"/>
          <w:szCs w:val="32"/>
          <w:lang w:val="en-US" w:eastAsia="zh-CN" w:bidi="ar"/>
        </w:rPr>
        <w:t>。</w:t>
      </w:r>
      <w:r>
        <w:rPr>
          <w:rFonts w:hint="eastAsia" w:ascii="仿宋_GB2312" w:hAnsi="仿宋_GB2312" w:eastAsia="仿宋_GB2312" w:cs="仿宋_GB2312"/>
          <w:color w:val="231F20"/>
          <w:kern w:val="0"/>
          <w:sz w:val="32"/>
          <w:szCs w:val="32"/>
          <w:lang w:val="en-US" w:eastAsia="zh-CN" w:bidi="ar"/>
        </w:rPr>
        <w:t>GERD的发病是多因素综合作用的结果，包括抗反流防御机制下降（如一过性下食管括约肌松弛、下食管括约肌压力降低和食管裂孔疝），胃排空延缓、胃电节律紊乱、协调运动能力下降，食管组织抵抗力下降，胃酸和胃蛋白酶等反流物攻击增强，神经因素，社会心理因素等。</w:t>
      </w:r>
      <w:r>
        <w:rPr>
          <w:rFonts w:hint="eastAsia" w:ascii="仿宋_GB2312" w:hAnsi="仿宋_GB2312" w:eastAsia="仿宋_GB2312" w:cs="仿宋_GB2312"/>
          <w:color w:val="000000"/>
          <w:kern w:val="0"/>
          <w:sz w:val="32"/>
          <w:szCs w:val="32"/>
          <w:lang w:val="en-US" w:eastAsia="zh-CN" w:bidi="ar"/>
        </w:rPr>
        <w:t>目前认为</w:t>
      </w:r>
      <w:r>
        <w:rPr>
          <w:rFonts w:hint="eastAsia" w:ascii="仿宋_GB2312" w:hAnsi="仿宋_GB2312" w:eastAsia="仿宋_GB2312" w:cs="仿宋_GB2312"/>
          <w:color w:val="231F20"/>
          <w:kern w:val="0"/>
          <w:sz w:val="32"/>
          <w:szCs w:val="32"/>
          <w:lang w:val="en-US" w:eastAsia="zh-CN" w:bidi="ar"/>
        </w:rPr>
        <w:t>GERD是一种胃肠动力障碍性疾病。有研究证实，</w:t>
      </w:r>
      <w:r>
        <w:rPr>
          <w:rFonts w:hint="eastAsia" w:ascii="仿宋_GB2312" w:hAnsi="仿宋_GB2312" w:eastAsia="仿宋_GB2312" w:cs="仿宋_GB2312"/>
          <w:color w:val="000000"/>
          <w:kern w:val="0"/>
          <w:sz w:val="32"/>
          <w:szCs w:val="32"/>
          <w:lang w:val="en-US" w:eastAsia="zh-CN" w:bidi="ar"/>
        </w:rPr>
        <w:t>消化道运动过程中伴随电活动, 其中慢波是胃肠运动的基础，而动作电位叠加于慢波的基础上触发收缩运动；当胃电节律异常时, 患者胃窦的收缩次数减少或传导方向异常, 从而导致胃排空能力下降。同时又有研究发现，38%的胃食管反流病患者胃电异常, 胃电图异常的胃食管反流病患者的消化不良症状积分更高，其中58%的患者有胃排空延迟，提示胃电节律减慢或增快均可导致与其偶联的胃机械运动障碍, 是胃动力障碍的电生理基础。因此胃电活动异常是胃食管反流病发病机制之一，为体表胃肠起搏治疗在胃食管反流病中的应用提供重要的依据。国内徐丹等研究发现，体表胃肠起搏治疗辅助抑酸药物治疗胃食管反流病比抑酸药物联合胃肠促动力药及单用抑酸药物能更显著地改善胃食管反流病患者的症状, 且其症状缓解后的首次复发时间远较另两组长，作用持久，不易复发，不良反应少，没有明显副作用。</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lang w:val="en-US" w:eastAsia="zh-CN"/>
        </w:rPr>
        <w:t>5.</w:t>
      </w:r>
      <w:r>
        <w:rPr>
          <w:rFonts w:hint="eastAsia" w:ascii="仿宋_GB2312" w:hAnsi="仿宋_GB2312" w:eastAsia="仿宋_GB2312" w:cs="仿宋_GB2312"/>
          <w:b/>
          <w:bCs/>
          <w:kern w:val="0"/>
          <w:sz w:val="32"/>
          <w:szCs w:val="32"/>
        </w:rPr>
        <w:t>重症急性胰腺炎</w:t>
      </w:r>
    </w:p>
    <w:p>
      <w:pPr>
        <w:keepNext w:val="0"/>
        <w:keepLines w:val="0"/>
        <w:pageBreakBefore w:val="0"/>
        <w:kinsoku/>
        <w:wordWrap/>
        <w:overflowPunct/>
        <w:topLinePunct w:val="0"/>
        <w:autoSpaceDE w:val="0"/>
        <w:autoSpaceDN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000000"/>
          <w:kern w:val="0"/>
          <w:sz w:val="32"/>
          <w:szCs w:val="32"/>
        </w:rPr>
        <w:t>重症急性胰腺炎（</w:t>
      </w:r>
      <w:r>
        <w:rPr>
          <w:rFonts w:hint="eastAsia" w:ascii="仿宋_GB2312" w:hAnsi="仿宋_GB2312" w:eastAsia="仿宋_GB2312" w:cs="仿宋_GB2312"/>
          <w:color w:val="000000"/>
          <w:sz w:val="32"/>
          <w:szCs w:val="32"/>
        </w:rPr>
        <w:t>severe acute pancreatitis</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kern w:val="0"/>
          <w:sz w:val="32"/>
          <w:szCs w:val="32"/>
        </w:rPr>
        <w:t>SAP）是消化科较多见的急性重症之一，其往往病情凶险，且进展迅速，早期可引起多脏器功能障碍，并出现多种并发症，病死率可达20%</w:t>
      </w:r>
      <w:r>
        <w:rPr>
          <w:rFonts w:hint="eastAsia" w:ascii="仿宋_GB2312" w:hAnsi="仿宋_GB2312" w:eastAsia="仿宋_GB2312" w:cs="仿宋_GB2312"/>
          <w:color w:val="231F20"/>
          <w:kern w:val="0"/>
          <w:sz w:val="32"/>
          <w:szCs w:val="32"/>
          <w:lang w:val="en-US" w:eastAsia="zh-CN" w:bidi="ar"/>
        </w:rPr>
        <w:t>～</w:t>
      </w:r>
      <w:r>
        <w:rPr>
          <w:rFonts w:hint="eastAsia" w:ascii="仿宋_GB2312" w:hAnsi="仿宋_GB2312" w:eastAsia="仿宋_GB2312" w:cs="仿宋_GB2312"/>
          <w:color w:val="000000"/>
          <w:kern w:val="0"/>
          <w:sz w:val="32"/>
          <w:szCs w:val="32"/>
        </w:rPr>
        <w:t>30%。</w:t>
      </w:r>
      <w:r>
        <w:rPr>
          <w:rFonts w:hint="eastAsia" w:ascii="仿宋_GB2312" w:hAnsi="仿宋_GB2312" w:eastAsia="仿宋_GB2312" w:cs="仿宋_GB2312"/>
          <w:color w:val="000000"/>
          <w:kern w:val="0"/>
          <w:sz w:val="32"/>
          <w:szCs w:val="32"/>
          <w:lang w:eastAsia="zh-CN"/>
        </w:rPr>
        <w:t>目前研究发现，</w:t>
      </w:r>
      <w:r>
        <w:rPr>
          <w:rFonts w:hint="eastAsia" w:ascii="仿宋_GB2312" w:hAnsi="仿宋_GB2312" w:eastAsia="仿宋_GB2312" w:cs="仿宋_GB2312"/>
          <w:color w:val="000000"/>
          <w:kern w:val="0"/>
          <w:sz w:val="32"/>
          <w:szCs w:val="32"/>
          <w:lang w:val="en-US" w:eastAsia="zh-CN" w:bidi="ar"/>
        </w:rPr>
        <w:t>SAP患者</w:t>
      </w:r>
      <w:r>
        <w:rPr>
          <w:rFonts w:hint="eastAsia" w:ascii="仿宋_GB2312" w:hAnsi="仿宋_GB2312" w:eastAsia="仿宋_GB2312" w:cs="仿宋_GB2312"/>
          <w:color w:val="000000"/>
          <w:kern w:val="0"/>
          <w:sz w:val="32"/>
          <w:szCs w:val="32"/>
        </w:rPr>
        <w:t>早期即存在胃肠道功能障碍</w:t>
      </w:r>
      <w:r>
        <w:rPr>
          <w:rFonts w:hint="eastAsia" w:ascii="仿宋_GB2312" w:hAnsi="仿宋_GB2312" w:eastAsia="仿宋_GB2312" w:cs="仿宋_GB2312"/>
          <w:color w:val="000000"/>
          <w:kern w:val="0"/>
          <w:sz w:val="32"/>
          <w:szCs w:val="32"/>
          <w:lang w:val="en-US" w:eastAsia="zh-CN" w:bidi="ar"/>
        </w:rPr>
        <w:t>，</w:t>
      </w:r>
      <w:r>
        <w:rPr>
          <w:rFonts w:hint="eastAsia" w:ascii="仿宋_GB2312" w:hAnsi="仿宋_GB2312" w:eastAsia="仿宋_GB2312" w:cs="仿宋_GB2312"/>
          <w:color w:val="000000"/>
          <w:kern w:val="0"/>
          <w:sz w:val="32"/>
          <w:szCs w:val="32"/>
        </w:rPr>
        <w:t>表现为胃肠黏膜屏障受损及胃肠动力障碍，其中胃肠动力障碍早期可因胃肠蠕动减弱或消失引起麻痹性肠梗阻、胃潴留等，</w:t>
      </w:r>
      <w:r>
        <w:rPr>
          <w:rFonts w:hint="eastAsia" w:ascii="仿宋_GB2312" w:hAnsi="仿宋_GB2312" w:eastAsia="仿宋_GB2312" w:cs="仿宋_GB2312"/>
          <w:color w:val="000000"/>
          <w:kern w:val="0"/>
          <w:sz w:val="32"/>
          <w:szCs w:val="32"/>
          <w:lang w:val="en-US" w:eastAsia="zh-CN" w:bidi="ar"/>
        </w:rPr>
        <w:t>SAP合并肠麻痹的发生率高达76%。一旦出现麻痹性肠梗阻可使肠道内有毒物质无法排出体外，肠腔内出现大量积气、积液，肠壁水肿，肠腔中存在大量的细菌、毒素,通过水肿的肠壁弥散、吸收入血，引起全身炎症反应，形成恶性循环，导致病情加重甚至恶化。</w:t>
      </w:r>
      <w:r>
        <w:rPr>
          <w:rFonts w:hint="eastAsia" w:ascii="仿宋_GB2312" w:hAnsi="仿宋_GB2312" w:eastAsia="仿宋_GB2312" w:cs="仿宋_GB2312"/>
          <w:color w:val="000000"/>
          <w:kern w:val="0"/>
          <w:sz w:val="32"/>
          <w:szCs w:val="32"/>
        </w:rPr>
        <w:t>SAP合并胃肠动力障碍存在以下机制：</w:t>
      </w:r>
      <w:r>
        <w:rPr>
          <w:rFonts w:hint="eastAsia" w:ascii="仿宋_GB2312" w:hAnsi="仿宋_GB2312" w:eastAsia="仿宋_GB2312" w:cs="仿宋_GB2312"/>
          <w:color w:val="000000"/>
          <w:kern w:val="0"/>
          <w:sz w:val="32"/>
          <w:szCs w:val="32"/>
          <w:lang w:eastAsia="zh-CN"/>
        </w:rPr>
        <w:t>①</w:t>
      </w:r>
      <w:r>
        <w:rPr>
          <w:rFonts w:hint="eastAsia" w:ascii="仿宋_GB2312" w:hAnsi="仿宋_GB2312" w:eastAsia="仿宋_GB2312" w:cs="仿宋_GB2312"/>
          <w:color w:val="000000"/>
          <w:kern w:val="0"/>
          <w:sz w:val="32"/>
          <w:szCs w:val="32"/>
        </w:rPr>
        <w:t>大量胰酶释放入血、毛细血管渗漏、失水、电解质紊乱、肠道血管收缩、全身血液再分配等致胃肠道缺血再灌注引起胃肠动力障碍；②血清胃动素、缩胆囊素、血管活性肠肽等胃肠激素分泌紊乱致胃肠蠕动减弱；③TNF-a、IL-1、IL-6等大量促炎因子释放及COX-2表达上调，产生炎症介质致胃肠动力障碍；④炎性因子、毒性脂质代谢产物、消化酶、血管活性物质、坏死组织等胃肠神经肌肉受损致胃肠动力障碍；⑤胰腺炎相关腹水引起胃肠动力抑制。</w:t>
      </w:r>
      <w:r>
        <w:rPr>
          <w:rFonts w:hint="eastAsia" w:ascii="仿宋_GB2312" w:hAnsi="仿宋_GB2312" w:eastAsia="仿宋_GB2312" w:cs="仿宋_GB2312"/>
          <w:kern w:val="0"/>
          <w:sz w:val="32"/>
          <w:szCs w:val="32"/>
        </w:rPr>
        <w:t>因此，胃肠道动力障碍与患者的病情严重性和预后差有密切关系</w:t>
      </w:r>
      <w:r>
        <w:rPr>
          <w:rFonts w:hint="eastAsia" w:ascii="仿宋_GB2312" w:hAnsi="仿宋_GB2312" w:eastAsia="仿宋_GB2312" w:cs="仿宋_GB2312"/>
          <w:kern w:val="0"/>
          <w:sz w:val="32"/>
          <w:szCs w:val="32"/>
          <w:lang w:eastAsia="zh-CN"/>
        </w:rPr>
        <w:t>，如何及时、快速、有效地早期</w:t>
      </w:r>
      <w:r>
        <w:rPr>
          <w:rFonts w:hint="eastAsia" w:ascii="仿宋_GB2312" w:hAnsi="仿宋_GB2312" w:eastAsia="仿宋_GB2312" w:cs="仿宋_GB2312"/>
          <w:kern w:val="0"/>
          <w:sz w:val="32"/>
          <w:szCs w:val="32"/>
        </w:rPr>
        <w:t>改善胃肠动力</w:t>
      </w:r>
      <w:r>
        <w:rPr>
          <w:rFonts w:hint="eastAsia" w:ascii="仿宋_GB2312" w:hAnsi="仿宋_GB2312" w:eastAsia="仿宋_GB2312" w:cs="仿宋_GB2312"/>
          <w:kern w:val="0"/>
          <w:sz w:val="32"/>
          <w:szCs w:val="32"/>
          <w:lang w:eastAsia="zh-CN"/>
        </w:rPr>
        <w:t>障碍是临床工作中的治疗重点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近年来，我院尤丽财、陈腾千等先后研究发现，</w:t>
      </w:r>
      <w:r>
        <w:rPr>
          <w:rFonts w:hint="eastAsia" w:ascii="仿宋_GB2312" w:hAnsi="仿宋_GB2312" w:eastAsia="仿宋_GB2312" w:cs="仿宋_GB2312"/>
          <w:kern w:val="0"/>
          <w:sz w:val="32"/>
          <w:szCs w:val="32"/>
        </w:rPr>
        <w:t>SAP患者在常规治疗的基础上</w:t>
      </w:r>
      <w:r>
        <w:rPr>
          <w:rFonts w:hint="eastAsia" w:ascii="仿宋_GB2312" w:hAnsi="仿宋_GB2312" w:eastAsia="仿宋_GB2312" w:cs="仿宋_GB2312"/>
          <w:kern w:val="0"/>
          <w:sz w:val="32"/>
          <w:szCs w:val="32"/>
          <w:lang w:eastAsia="zh-CN"/>
        </w:rPr>
        <w:t>早期配合</w:t>
      </w:r>
      <w:r>
        <w:rPr>
          <w:rFonts w:hint="eastAsia" w:ascii="仿宋_GB2312" w:hAnsi="仿宋_GB2312" w:eastAsia="仿宋_GB2312" w:cs="仿宋_GB2312"/>
          <w:kern w:val="0"/>
          <w:sz w:val="32"/>
          <w:szCs w:val="32"/>
        </w:rPr>
        <w:t>体表胃肠起搏治疗，能够尽早恢复患者胃肠动力，进而改善胃肠屏障功能，防止出现肠功能衰竭及严重并发症，阻止病情进展加重，促进病情早期恢复</w:t>
      </w:r>
      <w:r>
        <w:rPr>
          <w:rFonts w:hint="eastAsia" w:ascii="仿宋_GB2312" w:hAnsi="仿宋_GB2312" w:eastAsia="仿宋_GB2312" w:cs="仿宋_GB2312"/>
          <w:kern w:val="0"/>
          <w:sz w:val="32"/>
          <w:szCs w:val="32"/>
          <w:lang w:eastAsia="zh-CN"/>
        </w:rPr>
        <w:t>。</w:t>
      </w:r>
    </w:p>
    <w:p>
      <w:pPr>
        <w:keepNext w:val="0"/>
        <w:keepLines w:val="0"/>
        <w:pageBreakBefore w:val="0"/>
        <w:numPr>
          <w:ilvl w:val="0"/>
          <w:numId w:val="0"/>
        </w:numPr>
        <w:kinsoku/>
        <w:wordWrap/>
        <w:overflowPunct/>
        <w:topLinePunct w:val="0"/>
        <w:autoSpaceDE w:val="0"/>
        <w:autoSpaceDN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lang w:val="en-US" w:eastAsia="zh-CN"/>
        </w:rPr>
        <w:t xml:space="preserve"> 6.糖尿病胃轻瘫</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糖尿病胃轻瘫（diabetic gastroparesis，DGP）是糖尿病常见的慢性并发症之一, 它是以胃排空延迟为主要特征的一组临床症候群, 主要表现为早饱、餐后上腹饱胀、恶心、发作性干呕、呕吐、体重减轻等, 但无胃输出道器质性梗阻病变的证据存在。有研究报道，Ⅰ型或Ⅱ型糖尿病患者中伴发胃轻瘫者约为50%～76%。目前DGP的发病机制尚未完全阐明，一般认为与自主神经病变、内在神经和Cajal间质细胞异常、高血糖、胃肠激素失调、微血管病变及代谢紊乱等多种因素导致胃动力异常有关。上述这些因素的共同作用, 使得胃的基本电节律传导减慢, 胃底紧张性收缩减弱，胃窦压力特别是餐后胃窦压力降低，胃壁顺应性下降，胃十二指肠运动不协调, 胃排空延迟，导致临床上出现早饱、腹胀、餐后不适、恶心、呕吐、上腹痛等一系列消化不良症状。目前对于糖尿病胃轻瘫的治疗手段主要通过祛除诱因和原发病的治疗，同时采用莫沙必利、多潘立酮等促进胃肠动力药物对症治疗，但单用药物疗效欠佳，且容易反复。因此，寻找有效的改善胃肠动力的治疗方法成为了治疗DGP的关键。国内吴莺等研究发现，通过体表胃肠起搏治疗，能抑制糖尿病胃轻瘫患者的异常起搏点，使异常胃电正常化，加速胃排空，降低呕吐频率，缓解上腹部症状，尤其对恶心、呕吐、上腹不适的改善更为明显，是治疗DGP的有效方法。</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w:t>
      </w:r>
      <w:r>
        <w:rPr>
          <w:rFonts w:hint="eastAsia" w:ascii="仿宋_GB2312" w:hAnsi="仿宋_GB2312" w:eastAsia="仿宋_GB2312" w:cs="仿宋_GB2312"/>
          <w:b/>
          <w:bCs/>
          <w:color w:val="000000"/>
          <w:kern w:val="0"/>
          <w:sz w:val="32"/>
          <w:szCs w:val="32"/>
          <w:lang w:val="en-US" w:eastAsia="zh-CN" w:bidi="ar"/>
        </w:rPr>
        <w:t xml:space="preserve"> 7.胃肠道全麻术后胃肠功能障碍</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胃肠道全麻患者术后常有不同程度的功能性消化不良、呕吐、呃逆、胃轻瘫、肠功能紊乱等术后胃肠道功能紊乱。胃肠功能是受神经和体液多种因素的影响和控制的，是较为复杂的的神经肌肉运动。胃肠功能障碍是胃肠道全麻手术后常见的并发症，常表现为肠鸣音恢复时间长，排气和排便不正常。肠道功能障碍的时间不一，通常在24～72h，术后肠道功能恢复延迟会导致术后早期炎症性肠梗阻，严重影响患者的生活质量，延长住院时间，增加医疗费用。目前临床上通常使用促胃肠动力药缓解该种现象，如胃肠道动力药莫沙必利，药物治疗在一定程度上能协调胃肠运动，但是其单一用于改善胃肠功能效果不佳。因此，胃肠外科学者一直在探寻新的加快胃肠道手术后肠道功能恢复的治疗方案。国内肖玉兰等研究发现，在胃肠道全麻术后患者中配合胃肠起搏治疗</w:t>
      </w:r>
      <w:r>
        <w:rPr>
          <w:rFonts w:hint="eastAsia" w:ascii="仿宋_GB2312" w:hAnsi="仿宋_GB2312" w:eastAsia="仿宋_GB2312" w:cs="仿宋_GB2312"/>
          <w:color w:val="000000"/>
          <w:kern w:val="0"/>
          <w:sz w:val="32"/>
          <w:szCs w:val="32"/>
          <w:lang w:val="en-US" w:eastAsia="zh-CN" w:bidi="ar"/>
        </w:rPr>
        <w:t>显著改善患者的血清清胃动素、 胃泌素水平及胃肠恢复情况，有效减少患者胃肠功能恢复时间，减少其不良反应发生率。</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综上所述，</w:t>
      </w:r>
      <w:r>
        <w:rPr>
          <w:rFonts w:hint="eastAsia" w:ascii="仿宋_GB2312" w:hAnsi="仿宋_GB2312" w:eastAsia="仿宋_GB2312" w:cs="仿宋_GB2312"/>
          <w:sz w:val="32"/>
          <w:szCs w:val="32"/>
          <w:lang w:eastAsia="zh-CN"/>
        </w:rPr>
        <w:t>体表胃肠起搏治疗可以有效改善胃肠动力，对胃肠功能障碍性疾病治疗疗效显著，且</w:t>
      </w:r>
      <w:r>
        <w:rPr>
          <w:rFonts w:hint="eastAsia" w:ascii="仿宋_GB2312" w:hAnsi="仿宋_GB2312" w:eastAsia="仿宋_GB2312" w:cs="仿宋_GB2312"/>
          <w:color w:val="auto"/>
          <w:sz w:val="32"/>
          <w:szCs w:val="32"/>
        </w:rPr>
        <w:t>胃肠起搏器轻巧便捷，可床旁使用，不受时间、地点限制，</w:t>
      </w:r>
      <w:r>
        <w:rPr>
          <w:rFonts w:hint="eastAsia" w:ascii="仿宋_GB2312" w:hAnsi="仿宋_GB2312" w:eastAsia="仿宋_GB2312" w:cs="仿宋_GB2312"/>
          <w:color w:val="000000"/>
          <w:kern w:val="0"/>
          <w:sz w:val="32"/>
          <w:szCs w:val="32"/>
          <w:lang w:val="en-US" w:eastAsia="zh-CN" w:bidi="ar"/>
        </w:rPr>
        <w:t>简单易行、操作方便 、无痛苦、无创伤、无副作用等优点，</w:t>
      </w:r>
      <w:r>
        <w:rPr>
          <w:rFonts w:hint="eastAsia" w:ascii="仿宋_GB2312" w:hAnsi="仿宋_GB2312" w:eastAsia="仿宋_GB2312" w:cs="仿宋_GB2312"/>
          <w:color w:val="000000"/>
          <w:sz w:val="32"/>
          <w:szCs w:val="32"/>
        </w:rPr>
        <w:t>是一项简单的</w:t>
      </w:r>
      <w:r>
        <w:rPr>
          <w:rFonts w:hint="eastAsia" w:ascii="仿宋_GB2312" w:hAnsi="仿宋_GB2312" w:eastAsia="仿宋_GB2312" w:cs="仿宋_GB2312"/>
          <w:color w:val="000000"/>
          <w:sz w:val="32"/>
          <w:szCs w:val="32"/>
          <w:lang w:eastAsia="zh-CN"/>
        </w:rPr>
        <w:t>易于在基层</w:t>
      </w:r>
      <w:r>
        <w:rPr>
          <w:rFonts w:hint="eastAsia" w:ascii="仿宋_GB2312" w:hAnsi="仿宋_GB2312" w:eastAsia="仿宋_GB2312" w:cs="仿宋_GB2312"/>
          <w:color w:val="000000"/>
          <w:sz w:val="32"/>
          <w:szCs w:val="32"/>
        </w:rPr>
        <w:t>推广的</w:t>
      </w:r>
      <w:r>
        <w:rPr>
          <w:rFonts w:hint="eastAsia" w:ascii="仿宋_GB2312" w:hAnsi="仿宋_GB2312" w:eastAsia="仿宋_GB2312" w:cs="仿宋_GB2312"/>
          <w:color w:val="000000"/>
          <w:sz w:val="32"/>
          <w:szCs w:val="32"/>
          <w:lang w:eastAsia="zh-CN"/>
        </w:rPr>
        <w:t>重要</w:t>
      </w:r>
      <w:r>
        <w:rPr>
          <w:rFonts w:hint="eastAsia" w:ascii="仿宋_GB2312" w:hAnsi="仿宋_GB2312" w:eastAsia="仿宋_GB2312" w:cs="仿宋_GB2312"/>
          <w:color w:val="000000"/>
          <w:sz w:val="32"/>
          <w:szCs w:val="32"/>
        </w:rPr>
        <w:t>辅助治疗措施</w:t>
      </w:r>
      <w:r>
        <w:rPr>
          <w:rFonts w:hint="eastAsia" w:ascii="仿宋_GB2312" w:hAnsi="仿宋_GB2312" w:eastAsia="仿宋_GB2312" w:cs="仿宋_GB2312"/>
          <w:color w:val="000000"/>
          <w:sz w:val="32"/>
          <w:szCs w:val="32"/>
          <w:lang w:eastAsia="zh-CN"/>
        </w:rPr>
        <w:t>。同时，</w:t>
      </w:r>
      <w:r>
        <w:rPr>
          <w:rFonts w:hint="eastAsia" w:ascii="仿宋_GB2312" w:hAnsi="仿宋_GB2312" w:eastAsia="仿宋_GB2312" w:cs="仿宋_GB2312"/>
          <w:sz w:val="32"/>
          <w:szCs w:val="32"/>
          <w:lang w:eastAsia="zh-CN"/>
        </w:rPr>
        <w:t>目前研究多是短期治疗效果，对其远期疗效及对神经内分泌等功能影响的机制，需进行大量研究及随诊。</w:t>
      </w: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suppressLineNumbers w:val="0"/>
        <w:kinsoku/>
        <w:wordWrap/>
        <w:overflowPunct/>
        <w:topLinePunct w:val="0"/>
        <w:bidi w:val="0"/>
        <w:adjustRightInd w:val="0"/>
        <w:snapToGrid w:val="0"/>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附测试题 </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下列哪项不是体表胃肠起搏治疗的疾病（  ）</w:t>
      </w:r>
    </w:p>
    <w:p>
      <w:pPr>
        <w:keepNext w:val="0"/>
        <w:keepLines w:val="0"/>
        <w:pageBreakBefore w:val="0"/>
        <w:widowControl/>
        <w:numPr>
          <w:ilvl w:val="0"/>
          <w:numId w:val="2"/>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胃食管返流</w:t>
      </w:r>
    </w:p>
    <w:p>
      <w:pPr>
        <w:keepNext w:val="0"/>
        <w:keepLines w:val="0"/>
        <w:pageBreakBefore w:val="0"/>
        <w:widowControl/>
        <w:numPr>
          <w:ilvl w:val="0"/>
          <w:numId w:val="2"/>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
        </w:rPr>
        <w:t>糖尿病胃轻瘫</w:t>
      </w:r>
    </w:p>
    <w:p>
      <w:pPr>
        <w:keepNext w:val="0"/>
        <w:keepLines w:val="0"/>
        <w:pageBreakBefore w:val="0"/>
        <w:widowControl/>
        <w:numPr>
          <w:ilvl w:val="0"/>
          <w:numId w:val="2"/>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出口梗阻性便秘</w:t>
      </w:r>
    </w:p>
    <w:p>
      <w:pPr>
        <w:keepNext w:val="0"/>
        <w:keepLines w:val="0"/>
        <w:pageBreakBefore w:val="0"/>
        <w:widowControl/>
        <w:numPr>
          <w:ilvl w:val="0"/>
          <w:numId w:val="2"/>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
        </w:rPr>
        <w:t>功能性消化不良</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下列哪项不是体表胃肠起搏治疗的优点（  ）</w:t>
      </w:r>
    </w:p>
    <w:p>
      <w:pPr>
        <w:keepNext w:val="0"/>
        <w:keepLines w:val="0"/>
        <w:pageBreakBefore w:val="0"/>
        <w:widowControl/>
        <w:numPr>
          <w:ilvl w:val="0"/>
          <w:numId w:val="3"/>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简单易行</w:t>
      </w:r>
    </w:p>
    <w:p>
      <w:pPr>
        <w:keepNext w:val="0"/>
        <w:keepLines w:val="0"/>
        <w:pageBreakBefore w:val="0"/>
        <w:widowControl/>
        <w:numPr>
          <w:ilvl w:val="0"/>
          <w:numId w:val="3"/>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固定使用</w:t>
      </w:r>
    </w:p>
    <w:p>
      <w:pPr>
        <w:keepNext w:val="0"/>
        <w:keepLines w:val="0"/>
        <w:pageBreakBefore w:val="0"/>
        <w:widowControl/>
        <w:numPr>
          <w:ilvl w:val="0"/>
          <w:numId w:val="3"/>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
        </w:rPr>
        <w:t xml:space="preserve">操作方便 </w:t>
      </w:r>
    </w:p>
    <w:p>
      <w:pPr>
        <w:keepNext w:val="0"/>
        <w:keepLines w:val="0"/>
        <w:pageBreakBefore w:val="0"/>
        <w:widowControl/>
        <w:numPr>
          <w:ilvl w:val="0"/>
          <w:numId w:val="3"/>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
        </w:rPr>
        <w:t>无痛苦</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慢传输型便秘的好发人群是（  ）</w:t>
      </w:r>
    </w:p>
    <w:p>
      <w:pPr>
        <w:keepNext w:val="0"/>
        <w:keepLines w:val="0"/>
        <w:pageBreakBefore w:val="0"/>
        <w:widowControl/>
        <w:numPr>
          <w:ilvl w:val="0"/>
          <w:numId w:val="4"/>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中年人</w:t>
      </w:r>
    </w:p>
    <w:p>
      <w:pPr>
        <w:keepNext w:val="0"/>
        <w:keepLines w:val="0"/>
        <w:pageBreakBefore w:val="0"/>
        <w:widowControl/>
        <w:numPr>
          <w:ilvl w:val="0"/>
          <w:numId w:val="4"/>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青年人</w:t>
      </w:r>
    </w:p>
    <w:p>
      <w:pPr>
        <w:keepNext w:val="0"/>
        <w:keepLines w:val="0"/>
        <w:pageBreakBefore w:val="0"/>
        <w:widowControl/>
        <w:numPr>
          <w:ilvl w:val="0"/>
          <w:numId w:val="4"/>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婴幼儿</w:t>
      </w:r>
    </w:p>
    <w:p>
      <w:pPr>
        <w:keepNext w:val="0"/>
        <w:keepLines w:val="0"/>
        <w:pageBreakBefore w:val="0"/>
        <w:widowControl/>
        <w:numPr>
          <w:ilvl w:val="0"/>
          <w:numId w:val="4"/>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老年人</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sz w:val="32"/>
          <w:szCs w:val="32"/>
          <w:lang w:val="en-US" w:eastAsia="zh-CN"/>
        </w:rPr>
        <w:t>肠易激综合征</w:t>
      </w:r>
      <w:r>
        <w:rPr>
          <w:rFonts w:hint="eastAsia" w:ascii="仿宋_GB2312" w:hAnsi="仿宋_GB2312" w:eastAsia="仿宋_GB2312" w:cs="仿宋_GB2312"/>
          <w:color w:val="000000"/>
          <w:kern w:val="0"/>
          <w:sz w:val="32"/>
          <w:szCs w:val="32"/>
          <w:lang w:val="en-US" w:eastAsia="zh-CN" w:bidi="ar"/>
        </w:rPr>
        <w:t>的好发人群是（  ）</w:t>
      </w:r>
    </w:p>
    <w:p>
      <w:pPr>
        <w:keepNext w:val="0"/>
        <w:keepLines w:val="0"/>
        <w:pageBreakBefore w:val="0"/>
        <w:widowControl/>
        <w:numPr>
          <w:ilvl w:val="0"/>
          <w:numId w:val="5"/>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老年男性</w:t>
      </w:r>
    </w:p>
    <w:p>
      <w:pPr>
        <w:keepNext w:val="0"/>
        <w:keepLines w:val="0"/>
        <w:pageBreakBefore w:val="0"/>
        <w:widowControl/>
        <w:numPr>
          <w:ilvl w:val="0"/>
          <w:numId w:val="5"/>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中青年男性</w:t>
      </w:r>
    </w:p>
    <w:p>
      <w:pPr>
        <w:keepNext w:val="0"/>
        <w:keepLines w:val="0"/>
        <w:pageBreakBefore w:val="0"/>
        <w:widowControl/>
        <w:numPr>
          <w:ilvl w:val="0"/>
          <w:numId w:val="5"/>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中青年女性</w:t>
      </w:r>
    </w:p>
    <w:p>
      <w:pPr>
        <w:keepNext w:val="0"/>
        <w:keepLines w:val="0"/>
        <w:pageBreakBefore w:val="0"/>
        <w:widowControl/>
        <w:numPr>
          <w:ilvl w:val="0"/>
          <w:numId w:val="5"/>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老年女性</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胃肠运动的起搏细胞是（  ）</w:t>
      </w:r>
    </w:p>
    <w:p>
      <w:pPr>
        <w:keepNext w:val="0"/>
        <w:keepLines w:val="0"/>
        <w:pageBreakBefore w:val="0"/>
        <w:widowControl/>
        <w:numPr>
          <w:ilvl w:val="0"/>
          <w:numId w:val="6"/>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消化道Cajal间质细胞</w:t>
      </w:r>
    </w:p>
    <w:p>
      <w:pPr>
        <w:keepNext w:val="0"/>
        <w:keepLines w:val="0"/>
        <w:pageBreakBefore w:val="0"/>
        <w:widowControl/>
        <w:numPr>
          <w:ilvl w:val="0"/>
          <w:numId w:val="6"/>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消化道平滑肌细胞</w:t>
      </w:r>
    </w:p>
    <w:p>
      <w:pPr>
        <w:keepNext w:val="0"/>
        <w:keepLines w:val="0"/>
        <w:pageBreakBefore w:val="0"/>
        <w:widowControl/>
        <w:numPr>
          <w:ilvl w:val="0"/>
          <w:numId w:val="6"/>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消化道肠上皮细胞</w:t>
      </w:r>
    </w:p>
    <w:p>
      <w:pPr>
        <w:keepNext w:val="0"/>
        <w:keepLines w:val="0"/>
        <w:pageBreakBefore w:val="0"/>
        <w:widowControl/>
        <w:numPr>
          <w:ilvl w:val="0"/>
          <w:numId w:val="6"/>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消化道自主神经末梢</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下列哪项不是胃食管反流病的发病机制（  ）</w:t>
      </w:r>
    </w:p>
    <w:p>
      <w:pPr>
        <w:keepNext w:val="0"/>
        <w:keepLines w:val="0"/>
        <w:pageBreakBefore w:val="0"/>
        <w:widowControl/>
        <w:numPr>
          <w:ilvl w:val="0"/>
          <w:numId w:val="7"/>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color w:val="231F20"/>
          <w:kern w:val="0"/>
          <w:sz w:val="32"/>
          <w:szCs w:val="32"/>
          <w:lang w:val="en-US" w:eastAsia="zh-CN" w:bidi="ar"/>
        </w:rPr>
        <w:t>抗反流防御机制上升</w:t>
      </w:r>
    </w:p>
    <w:p>
      <w:pPr>
        <w:keepNext w:val="0"/>
        <w:keepLines w:val="0"/>
        <w:pageBreakBefore w:val="0"/>
        <w:widowControl/>
        <w:numPr>
          <w:ilvl w:val="0"/>
          <w:numId w:val="7"/>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231F20"/>
          <w:kern w:val="0"/>
          <w:sz w:val="32"/>
          <w:szCs w:val="32"/>
          <w:lang w:val="en-US" w:eastAsia="zh-CN" w:bidi="ar"/>
        </w:rPr>
        <w:t>胃排空延缓及协调运动能力下降</w:t>
      </w:r>
    </w:p>
    <w:p>
      <w:pPr>
        <w:keepNext w:val="0"/>
        <w:keepLines w:val="0"/>
        <w:pageBreakBefore w:val="0"/>
        <w:widowControl/>
        <w:numPr>
          <w:ilvl w:val="0"/>
          <w:numId w:val="7"/>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231F20"/>
          <w:kern w:val="0"/>
          <w:sz w:val="32"/>
          <w:szCs w:val="32"/>
          <w:lang w:val="en-US" w:eastAsia="zh-CN" w:bidi="ar"/>
        </w:rPr>
        <w:t>食管组织抵抗力下降</w:t>
      </w:r>
    </w:p>
    <w:p>
      <w:pPr>
        <w:keepNext w:val="0"/>
        <w:keepLines w:val="0"/>
        <w:pageBreakBefore w:val="0"/>
        <w:widowControl/>
        <w:numPr>
          <w:ilvl w:val="0"/>
          <w:numId w:val="7"/>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231F20"/>
          <w:kern w:val="0"/>
          <w:sz w:val="32"/>
          <w:szCs w:val="32"/>
          <w:lang w:val="en-US" w:eastAsia="zh-CN" w:bidi="ar"/>
        </w:rPr>
        <w:t>胃酸和胃蛋白酶等反流物攻击增强</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color w:val="231F20"/>
          <w:kern w:val="0"/>
          <w:sz w:val="32"/>
          <w:szCs w:val="32"/>
          <w:lang w:val="en-US" w:eastAsia="zh-CN" w:bidi="ar"/>
        </w:rPr>
      </w:pPr>
      <w:r>
        <w:rPr>
          <w:rFonts w:hint="eastAsia" w:ascii="仿宋_GB2312" w:hAnsi="仿宋_GB2312" w:eastAsia="仿宋_GB2312" w:cs="仿宋_GB2312"/>
          <w:color w:val="231F20"/>
          <w:kern w:val="0"/>
          <w:sz w:val="32"/>
          <w:szCs w:val="32"/>
          <w:lang w:val="en-US" w:eastAsia="zh-CN" w:bidi="ar"/>
        </w:rPr>
        <w:t>重症急性胰腺炎的病史率可高达（  ）</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231F20"/>
          <w:kern w:val="0"/>
          <w:sz w:val="32"/>
          <w:szCs w:val="32"/>
          <w:lang w:val="en-US" w:eastAsia="zh-CN" w:bidi="ar"/>
        </w:rPr>
        <w:t>A.</w:t>
      </w:r>
      <w:r>
        <w:rPr>
          <w:rFonts w:hint="eastAsia" w:ascii="仿宋_GB2312" w:hAnsi="仿宋_GB2312" w:eastAsia="仿宋_GB2312" w:cs="仿宋_GB2312"/>
          <w:color w:val="000000"/>
          <w:kern w:val="0"/>
          <w:sz w:val="32"/>
          <w:szCs w:val="32"/>
          <w:lang w:val="en-US" w:eastAsia="zh-CN"/>
        </w:rPr>
        <w:t>10</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231F20"/>
          <w:kern w:val="0"/>
          <w:sz w:val="32"/>
          <w:szCs w:val="32"/>
          <w:lang w:val="en-US" w:eastAsia="zh-CN" w:bidi="ar"/>
        </w:rPr>
        <w:t>～</w:t>
      </w:r>
      <w:r>
        <w:rPr>
          <w:rFonts w:hint="eastAsia" w:ascii="仿宋_GB2312" w:hAnsi="仿宋_GB2312" w:eastAsia="仿宋_GB2312" w:cs="仿宋_GB2312"/>
          <w:color w:val="000000"/>
          <w:kern w:val="0"/>
          <w:sz w:val="32"/>
          <w:szCs w:val="32"/>
          <w:lang w:val="en-US" w:eastAsia="zh-CN"/>
        </w:rPr>
        <w:t>20</w:t>
      </w:r>
      <w:r>
        <w:rPr>
          <w:rFonts w:hint="eastAsia" w:ascii="仿宋_GB2312" w:hAnsi="仿宋_GB2312" w:eastAsia="仿宋_GB2312" w:cs="仿宋_GB2312"/>
          <w:color w:val="000000"/>
          <w:kern w:val="0"/>
          <w:sz w:val="32"/>
          <w:szCs w:val="32"/>
        </w:rPr>
        <w:t>%</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B.</w:t>
      </w: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231F20"/>
          <w:kern w:val="0"/>
          <w:sz w:val="32"/>
          <w:szCs w:val="32"/>
          <w:lang w:val="en-US" w:eastAsia="zh-CN" w:bidi="ar"/>
        </w:rPr>
        <w:t>～4</w:t>
      </w:r>
      <w:r>
        <w:rPr>
          <w:rFonts w:hint="eastAsia" w:ascii="仿宋_GB2312" w:hAnsi="仿宋_GB2312" w:eastAsia="仿宋_GB2312" w:cs="仿宋_GB2312"/>
          <w:color w:val="000000"/>
          <w:kern w:val="0"/>
          <w:sz w:val="32"/>
          <w:szCs w:val="32"/>
        </w:rPr>
        <w:t>0%</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C.1</w:t>
      </w:r>
      <w:r>
        <w:rPr>
          <w:rFonts w:hint="eastAsia" w:ascii="仿宋_GB2312" w:hAnsi="仿宋_GB2312" w:eastAsia="仿宋_GB2312" w:cs="仿宋_GB2312"/>
          <w:color w:val="000000"/>
          <w:kern w:val="0"/>
          <w:sz w:val="32"/>
          <w:szCs w:val="32"/>
        </w:rPr>
        <w:t>0%</w:t>
      </w:r>
      <w:r>
        <w:rPr>
          <w:rFonts w:hint="eastAsia" w:ascii="仿宋_GB2312" w:hAnsi="仿宋_GB2312" w:eastAsia="仿宋_GB2312" w:cs="仿宋_GB2312"/>
          <w:color w:val="231F20"/>
          <w:kern w:val="0"/>
          <w:sz w:val="32"/>
          <w:szCs w:val="32"/>
          <w:lang w:val="en-US" w:eastAsia="zh-CN" w:bidi="ar"/>
        </w:rPr>
        <w:t>～</w:t>
      </w:r>
      <w:r>
        <w:rPr>
          <w:rFonts w:hint="eastAsia" w:ascii="仿宋_GB2312" w:hAnsi="仿宋_GB2312" w:eastAsia="仿宋_GB2312" w:cs="仿宋_GB2312"/>
          <w:color w:val="000000"/>
          <w:kern w:val="0"/>
          <w:sz w:val="32"/>
          <w:szCs w:val="32"/>
        </w:rPr>
        <w:t>30%</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D.</w:t>
      </w: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231F20"/>
          <w:kern w:val="0"/>
          <w:sz w:val="32"/>
          <w:szCs w:val="32"/>
          <w:lang w:val="en-US" w:eastAsia="zh-CN" w:bidi="ar"/>
        </w:rPr>
        <w:t>～</w:t>
      </w:r>
      <w:r>
        <w:rPr>
          <w:rFonts w:hint="eastAsia" w:ascii="仿宋_GB2312" w:hAnsi="仿宋_GB2312" w:eastAsia="仿宋_GB2312" w:cs="仿宋_GB2312"/>
          <w:color w:val="000000"/>
          <w:kern w:val="0"/>
          <w:sz w:val="32"/>
          <w:szCs w:val="32"/>
        </w:rPr>
        <w:t>30%</w:t>
      </w:r>
    </w:p>
    <w:p>
      <w:pPr>
        <w:keepNext w:val="0"/>
        <w:keepLines w:val="0"/>
        <w:pageBreakBefore w:val="0"/>
        <w:widowControl/>
        <w:numPr>
          <w:ilvl w:val="0"/>
          <w:numId w:val="1"/>
        </w:numPr>
        <w:suppressLineNumbers w:val="0"/>
        <w:kinsoku/>
        <w:wordWrap/>
        <w:overflowPunct/>
        <w:topLinePunct w:val="0"/>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i w:val="0"/>
          <w:caps w:val="0"/>
          <w:color w:val="000000"/>
          <w:spacing w:val="0"/>
          <w:sz w:val="32"/>
          <w:szCs w:val="32"/>
          <w:shd w:val="clear" w:color="auto" w:fill="FFFFFF"/>
          <w:lang w:eastAsia="zh-CN"/>
        </w:rPr>
      </w:pPr>
      <w:r>
        <w:rPr>
          <w:rFonts w:hint="eastAsia" w:ascii="仿宋_GB2312" w:hAnsi="仿宋_GB2312" w:eastAsia="仿宋_GB2312" w:cs="仿宋_GB2312"/>
          <w:i w:val="0"/>
          <w:caps w:val="0"/>
          <w:color w:val="000000"/>
          <w:spacing w:val="0"/>
          <w:sz w:val="32"/>
          <w:szCs w:val="32"/>
          <w:shd w:val="clear" w:color="auto" w:fill="FFFFFF"/>
        </w:rPr>
        <w:t>功能性消化不良</w:t>
      </w:r>
      <w:r>
        <w:rPr>
          <w:rFonts w:hint="eastAsia" w:ascii="仿宋_GB2312" w:hAnsi="仿宋_GB2312" w:eastAsia="仿宋_GB2312" w:cs="仿宋_GB2312"/>
          <w:i w:val="0"/>
          <w:caps w:val="0"/>
          <w:color w:val="000000"/>
          <w:spacing w:val="0"/>
          <w:sz w:val="32"/>
          <w:szCs w:val="32"/>
          <w:shd w:val="clear" w:color="auto" w:fill="FFFFFF"/>
          <w:lang w:eastAsia="zh-CN"/>
        </w:rPr>
        <w:t>的哪项发病机制为体表胃肠起搏治疗的使用提供依据（</w:t>
      </w:r>
      <w:r>
        <w:rPr>
          <w:rFonts w:hint="eastAsia" w:ascii="仿宋_GB2312" w:hAnsi="仿宋_GB2312" w:eastAsia="仿宋_GB2312" w:cs="仿宋_GB2312"/>
          <w:i w:val="0"/>
          <w:caps w:val="0"/>
          <w:color w:val="000000"/>
          <w:spacing w:val="0"/>
          <w:sz w:val="32"/>
          <w:szCs w:val="32"/>
          <w:shd w:val="clear" w:color="auto" w:fill="FFFFFF"/>
          <w:lang w:val="en-US" w:eastAsia="zh-CN"/>
        </w:rPr>
        <w:t xml:space="preserve">  </w:t>
      </w:r>
      <w:r>
        <w:rPr>
          <w:rFonts w:hint="eastAsia" w:ascii="仿宋_GB2312" w:hAnsi="仿宋_GB2312" w:eastAsia="仿宋_GB2312" w:cs="仿宋_GB2312"/>
          <w:i w:val="0"/>
          <w:caps w:val="0"/>
          <w:color w:val="000000"/>
          <w:spacing w:val="0"/>
          <w:sz w:val="32"/>
          <w:szCs w:val="32"/>
          <w:shd w:val="clear" w:color="auto" w:fill="FFFFFF"/>
          <w:lang w:eastAsia="zh-CN"/>
        </w:rPr>
        <w:t>）</w:t>
      </w:r>
    </w:p>
    <w:p>
      <w:pPr>
        <w:keepNext w:val="0"/>
        <w:keepLines w:val="0"/>
        <w:pageBreakBefore w:val="0"/>
        <w:widowControl/>
        <w:numPr>
          <w:ilvl w:val="0"/>
          <w:numId w:val="8"/>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i w:val="0"/>
          <w:caps w:val="0"/>
          <w:color w:val="000000"/>
          <w:spacing w:val="0"/>
          <w:sz w:val="32"/>
          <w:szCs w:val="32"/>
          <w:shd w:val="clear" w:color="auto" w:fill="FFFFFF"/>
          <w:lang w:val="en-US" w:eastAsia="zh-CN"/>
        </w:rPr>
      </w:pPr>
      <w:r>
        <w:rPr>
          <w:rFonts w:hint="eastAsia" w:ascii="仿宋_GB2312" w:hAnsi="仿宋_GB2312" w:eastAsia="仿宋_GB2312" w:cs="仿宋_GB2312"/>
          <w:color w:val="000000"/>
          <w:kern w:val="0"/>
          <w:sz w:val="32"/>
          <w:szCs w:val="32"/>
          <w:lang w:eastAsia="zh-CN"/>
        </w:rPr>
        <w:t>胃底对食物的容受性舒张功能下降</w:t>
      </w:r>
    </w:p>
    <w:p>
      <w:pPr>
        <w:keepNext w:val="0"/>
        <w:keepLines w:val="0"/>
        <w:pageBreakBefore w:val="0"/>
        <w:widowControl/>
        <w:numPr>
          <w:ilvl w:val="0"/>
          <w:numId w:val="8"/>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胃肠动力障碍</w:t>
      </w:r>
    </w:p>
    <w:p>
      <w:pPr>
        <w:keepNext w:val="0"/>
        <w:keepLines w:val="0"/>
        <w:pageBreakBefore w:val="0"/>
        <w:widowControl/>
        <w:numPr>
          <w:ilvl w:val="0"/>
          <w:numId w:val="8"/>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i w:val="0"/>
          <w:caps w:val="0"/>
          <w:color w:val="000000"/>
          <w:spacing w:val="0"/>
          <w:sz w:val="32"/>
          <w:szCs w:val="32"/>
          <w:shd w:val="clear" w:color="auto" w:fill="FFFFFF"/>
          <w:lang w:val="en-US" w:eastAsia="zh-CN"/>
        </w:rPr>
      </w:pPr>
      <w:r>
        <w:rPr>
          <w:rFonts w:hint="eastAsia" w:ascii="仿宋_GB2312" w:hAnsi="仿宋_GB2312" w:eastAsia="仿宋_GB2312" w:cs="仿宋_GB2312"/>
          <w:color w:val="000000"/>
          <w:kern w:val="0"/>
          <w:sz w:val="32"/>
          <w:szCs w:val="32"/>
          <w:lang w:eastAsia="zh-CN"/>
        </w:rPr>
        <w:t>内脏感觉过敏</w:t>
      </w:r>
    </w:p>
    <w:p>
      <w:pPr>
        <w:keepNext w:val="0"/>
        <w:keepLines w:val="0"/>
        <w:pageBreakBefore w:val="0"/>
        <w:widowControl/>
        <w:numPr>
          <w:ilvl w:val="0"/>
          <w:numId w:val="8"/>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i w:val="0"/>
          <w:caps w:val="0"/>
          <w:color w:val="000000"/>
          <w:spacing w:val="0"/>
          <w:sz w:val="32"/>
          <w:szCs w:val="32"/>
          <w:shd w:val="clear" w:color="auto" w:fill="FFFFFF"/>
          <w:lang w:val="en-US" w:eastAsia="zh-CN"/>
        </w:rPr>
      </w:pPr>
      <w:r>
        <w:rPr>
          <w:rFonts w:hint="eastAsia" w:ascii="仿宋_GB2312" w:hAnsi="仿宋_GB2312" w:eastAsia="仿宋_GB2312" w:cs="仿宋_GB2312"/>
          <w:color w:val="000000"/>
          <w:kern w:val="0"/>
          <w:sz w:val="32"/>
          <w:szCs w:val="32"/>
          <w:lang w:eastAsia="zh-CN"/>
        </w:rPr>
        <w:t>精神和社会因素</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right="0" w:rightChars="0"/>
        <w:jc w:val="both"/>
        <w:textAlignment w:val="auto"/>
        <w:outlineLvl w:val="9"/>
        <w:rPr>
          <w:rFonts w:hint="eastAsia" w:ascii="仿宋_GB2312" w:hAnsi="仿宋_GB2312" w:eastAsia="仿宋_GB2312" w:cs="仿宋_GB2312"/>
          <w:i w:val="0"/>
          <w:caps w:val="0"/>
          <w:color w:val="000000"/>
          <w:spacing w:val="0"/>
          <w:sz w:val="32"/>
          <w:szCs w:val="32"/>
          <w:shd w:val="clear" w:color="auto" w:fill="FFFFFF"/>
          <w:lang w:val="en-US" w:eastAsia="zh-CN"/>
        </w:rPr>
      </w:pP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b w:val="0"/>
          <w:color w:val="000000"/>
          <w:kern w:val="0"/>
          <w:sz w:val="32"/>
          <w:szCs w:val="32"/>
          <w:lang w:val="en-US" w:eastAsia="zh-CN" w:bidi="ar"/>
        </w:rPr>
        <w:t>胃肠道全麻患者术后并发肠道功能障碍通常发生在（  ）</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rPr>
        <w:t>A.</w:t>
      </w:r>
      <w:r>
        <w:rPr>
          <w:rFonts w:hint="eastAsia" w:ascii="仿宋_GB2312" w:hAnsi="仿宋_GB2312" w:eastAsia="仿宋_GB2312" w:cs="仿宋_GB2312"/>
          <w:b w:val="0"/>
          <w:color w:val="000000"/>
          <w:kern w:val="0"/>
          <w:sz w:val="32"/>
          <w:szCs w:val="32"/>
          <w:lang w:val="en-US" w:eastAsia="zh-CN" w:bidi="ar"/>
        </w:rPr>
        <w:t>24～48h</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B.48～72h</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C.24～72h</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b w:val="0"/>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D.36～60h</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b w:val="0"/>
          <w:color w:val="000000"/>
          <w:kern w:val="0"/>
          <w:sz w:val="32"/>
          <w:szCs w:val="32"/>
          <w:lang w:val="en-US" w:eastAsia="zh-CN" w:bidi="ar"/>
        </w:rPr>
        <w:t>10.下列哪项不是</w:t>
      </w:r>
      <w:r>
        <w:rPr>
          <w:rFonts w:hint="eastAsia" w:ascii="仿宋_GB2312" w:hAnsi="仿宋_GB2312" w:eastAsia="仿宋_GB2312" w:cs="仿宋_GB2312"/>
          <w:color w:val="000000"/>
          <w:kern w:val="0"/>
          <w:sz w:val="32"/>
          <w:szCs w:val="32"/>
          <w:lang w:val="en-US" w:eastAsia="zh-CN" w:bidi="ar"/>
        </w:rPr>
        <w:t>糖尿病胃轻瘫的临床表现（  ）</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A.早饱</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B.餐后上腹饱胀</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C.发作性干呕</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D.体重增加</w:t>
      </w: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p>
    <w:p>
      <w:pPr>
        <w:keepNext w:val="0"/>
        <w:keepLines w:val="0"/>
        <w:pageBreakBefore w:val="0"/>
        <w:widowControl/>
        <w:numPr>
          <w:ilvl w:val="0"/>
          <w:numId w:val="0"/>
        </w:numPr>
        <w:suppressLineNumbers w:val="0"/>
        <w:kinsoku/>
        <w:wordWrap/>
        <w:overflowPunct/>
        <w:topLinePunct w:val="0"/>
        <w:bidi w:val="0"/>
        <w:adjustRightInd w:val="0"/>
        <w:snapToGrid w:val="0"/>
        <w:spacing w:line="590" w:lineRule="exact"/>
        <w:ind w:leftChars="0"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AB13"/>
    <w:multiLevelType w:val="singleLevel"/>
    <w:tmpl w:val="9D00AB13"/>
    <w:lvl w:ilvl="0" w:tentative="0">
      <w:start w:val="1"/>
      <w:numFmt w:val="upperLetter"/>
      <w:lvlText w:val="%1."/>
      <w:lvlJc w:val="left"/>
      <w:pPr>
        <w:tabs>
          <w:tab w:val="left" w:pos="312"/>
        </w:tabs>
      </w:pPr>
    </w:lvl>
  </w:abstractNum>
  <w:abstractNum w:abstractNumId="1">
    <w:nsid w:val="9D81ED01"/>
    <w:multiLevelType w:val="singleLevel"/>
    <w:tmpl w:val="9D81ED01"/>
    <w:lvl w:ilvl="0" w:tentative="0">
      <w:start w:val="1"/>
      <w:numFmt w:val="upperLetter"/>
      <w:lvlText w:val="%1."/>
      <w:lvlJc w:val="left"/>
      <w:pPr>
        <w:tabs>
          <w:tab w:val="left" w:pos="312"/>
        </w:tabs>
      </w:pPr>
    </w:lvl>
  </w:abstractNum>
  <w:abstractNum w:abstractNumId="2">
    <w:nsid w:val="BAF84991"/>
    <w:multiLevelType w:val="singleLevel"/>
    <w:tmpl w:val="BAF84991"/>
    <w:lvl w:ilvl="0" w:tentative="0">
      <w:start w:val="1"/>
      <w:numFmt w:val="upperLetter"/>
      <w:lvlText w:val="%1."/>
      <w:lvlJc w:val="left"/>
      <w:pPr>
        <w:tabs>
          <w:tab w:val="left" w:pos="312"/>
        </w:tabs>
      </w:pPr>
    </w:lvl>
  </w:abstractNum>
  <w:abstractNum w:abstractNumId="3">
    <w:nsid w:val="0C37E32B"/>
    <w:multiLevelType w:val="singleLevel"/>
    <w:tmpl w:val="0C37E32B"/>
    <w:lvl w:ilvl="0" w:tentative="0">
      <w:start w:val="1"/>
      <w:numFmt w:val="upperLetter"/>
      <w:lvlText w:val="%1."/>
      <w:lvlJc w:val="left"/>
      <w:pPr>
        <w:tabs>
          <w:tab w:val="left" w:pos="312"/>
        </w:tabs>
      </w:pPr>
    </w:lvl>
  </w:abstractNum>
  <w:abstractNum w:abstractNumId="4">
    <w:nsid w:val="1E7E4C42"/>
    <w:multiLevelType w:val="singleLevel"/>
    <w:tmpl w:val="1E7E4C42"/>
    <w:lvl w:ilvl="0" w:tentative="0">
      <w:start w:val="1"/>
      <w:numFmt w:val="upperLetter"/>
      <w:lvlText w:val="%1."/>
      <w:lvlJc w:val="left"/>
      <w:pPr>
        <w:tabs>
          <w:tab w:val="left" w:pos="312"/>
        </w:tabs>
      </w:pPr>
    </w:lvl>
  </w:abstractNum>
  <w:abstractNum w:abstractNumId="5">
    <w:nsid w:val="272CB96E"/>
    <w:multiLevelType w:val="singleLevel"/>
    <w:tmpl w:val="272CB96E"/>
    <w:lvl w:ilvl="0" w:tentative="0">
      <w:start w:val="1"/>
      <w:numFmt w:val="upperLetter"/>
      <w:lvlText w:val="%1."/>
      <w:lvlJc w:val="left"/>
      <w:pPr>
        <w:tabs>
          <w:tab w:val="left" w:pos="312"/>
        </w:tabs>
      </w:pPr>
    </w:lvl>
  </w:abstractNum>
  <w:abstractNum w:abstractNumId="6">
    <w:nsid w:val="56D69C4A"/>
    <w:multiLevelType w:val="singleLevel"/>
    <w:tmpl w:val="56D69C4A"/>
    <w:lvl w:ilvl="0" w:tentative="0">
      <w:start w:val="1"/>
      <w:numFmt w:val="upperLetter"/>
      <w:lvlText w:val="%1."/>
      <w:lvlJc w:val="left"/>
      <w:pPr>
        <w:tabs>
          <w:tab w:val="left" w:pos="312"/>
        </w:tabs>
      </w:pPr>
    </w:lvl>
  </w:abstractNum>
  <w:abstractNum w:abstractNumId="7">
    <w:nsid w:val="5A07D52C"/>
    <w:multiLevelType w:val="singleLevel"/>
    <w:tmpl w:val="5A07D52C"/>
    <w:lvl w:ilvl="0" w:tentative="0">
      <w:start w:val="1"/>
      <w:numFmt w:val="decimal"/>
      <w:lvlText w:val="%1."/>
      <w:lvlJc w:val="left"/>
      <w:pPr>
        <w:tabs>
          <w:tab w:val="left" w:pos="312"/>
        </w:tabs>
      </w:pPr>
    </w:lvl>
  </w:abstractNum>
  <w:num w:numId="1">
    <w:abstractNumId w:val="7"/>
  </w:num>
  <w:num w:numId="2">
    <w:abstractNumId w:val="1"/>
  </w:num>
  <w:num w:numId="3">
    <w:abstractNumId w:val="6"/>
  </w:num>
  <w:num w:numId="4">
    <w:abstractNumId w:val="0"/>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E599D"/>
    <w:rsid w:val="132B2A29"/>
    <w:rsid w:val="1A2D4C93"/>
    <w:rsid w:val="275969B5"/>
    <w:rsid w:val="49BE599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transsent"/>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2021-04-26T07:28:00Z</dcterms:created>
  <dc:creator>user</dc:creator>
  <cp:lastModifiedBy>lenovo</cp:lastModifiedBy>
  <dcterms:modified xsi:type="dcterms:W3CDTF">2021-06-16T01:45:40Z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